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D1E5F" w14:textId="10EBC175" w:rsidR="00CF6FED" w:rsidRPr="00FE168A" w:rsidRDefault="00883AD7" w:rsidP="00FE168A">
      <w:pPr>
        <w:spacing w:after="0" w:line="240" w:lineRule="auto"/>
        <w:jc w:val="center"/>
        <w:rPr>
          <w:rFonts w:ascii="Calibri" w:hAnsi="Calibri" w:cs="Calibri"/>
          <w:sz w:val="24"/>
          <w:szCs w:val="24"/>
          <w:highlight w:val="yellow"/>
        </w:rPr>
      </w:pPr>
      <w:bookmarkStart w:id="0" w:name="_GoBack"/>
      <w:bookmarkEnd w:id="0"/>
      <w:r w:rsidRPr="00FE168A">
        <w:rPr>
          <w:rFonts w:ascii="Calibri" w:hAnsi="Calibri" w:cs="Calibri"/>
          <w:noProof/>
          <w:sz w:val="24"/>
          <w:szCs w:val="24"/>
        </w:rPr>
        <w:drawing>
          <wp:anchor distT="0" distB="0" distL="114300" distR="114300" simplePos="0" relativeHeight="251658240" behindDoc="0" locked="0" layoutInCell="1" allowOverlap="1" wp14:anchorId="25526D50" wp14:editId="663869AE">
            <wp:simplePos x="0" y="0"/>
            <wp:positionH relativeFrom="column">
              <wp:posOffset>2625458</wp:posOffset>
            </wp:positionH>
            <wp:positionV relativeFrom="paragraph">
              <wp:posOffset>401</wp:posOffset>
            </wp:positionV>
            <wp:extent cx="714375" cy="615950"/>
            <wp:effectExtent l="0" t="0" r="9525"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4375"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300B2" w14:textId="77777777" w:rsidR="00CF6FED" w:rsidRPr="00FE168A" w:rsidRDefault="00CF6FED" w:rsidP="00FE168A">
      <w:pPr>
        <w:spacing w:after="0" w:line="240" w:lineRule="auto"/>
        <w:jc w:val="center"/>
        <w:rPr>
          <w:rFonts w:ascii="Calibri" w:hAnsi="Calibri" w:cs="Calibri"/>
          <w:sz w:val="24"/>
          <w:szCs w:val="24"/>
          <w:highlight w:val="yellow"/>
        </w:rPr>
      </w:pPr>
    </w:p>
    <w:p w14:paraId="108E92DF" w14:textId="77777777" w:rsidR="00CF6FED" w:rsidRPr="00FE168A" w:rsidRDefault="00CF6FED" w:rsidP="00FE168A">
      <w:pPr>
        <w:spacing w:after="0" w:line="240" w:lineRule="auto"/>
        <w:jc w:val="center"/>
        <w:rPr>
          <w:rFonts w:ascii="Calibri" w:hAnsi="Calibri" w:cs="Calibri"/>
          <w:sz w:val="24"/>
          <w:szCs w:val="24"/>
          <w:highlight w:val="yellow"/>
        </w:rPr>
      </w:pPr>
    </w:p>
    <w:p w14:paraId="48A51F32" w14:textId="77777777" w:rsidR="00CF6FED" w:rsidRPr="00594203" w:rsidRDefault="0093232C" w:rsidP="00FE168A">
      <w:pPr>
        <w:spacing w:before="120" w:after="120"/>
        <w:jc w:val="center"/>
        <w:rPr>
          <w:rFonts w:cstheme="minorHAnsi"/>
          <w:b/>
          <w:sz w:val="28"/>
          <w:szCs w:val="28"/>
        </w:rPr>
      </w:pPr>
      <w:r w:rsidRPr="00594203">
        <w:rPr>
          <w:rFonts w:cstheme="minorHAnsi"/>
          <w:b/>
          <w:sz w:val="28"/>
          <w:szCs w:val="28"/>
        </w:rPr>
        <w:t>Kontrolní závěr z kontrolní akce</w:t>
      </w:r>
    </w:p>
    <w:p w14:paraId="01AAA51F" w14:textId="77777777" w:rsidR="00CF6FED" w:rsidRPr="00594203" w:rsidRDefault="00594203" w:rsidP="00FE168A">
      <w:pPr>
        <w:spacing w:before="120" w:after="120"/>
        <w:jc w:val="center"/>
        <w:rPr>
          <w:rFonts w:cstheme="minorHAnsi"/>
          <w:b/>
          <w:sz w:val="28"/>
          <w:szCs w:val="28"/>
        </w:rPr>
      </w:pPr>
      <w:r w:rsidRPr="00594203">
        <w:rPr>
          <w:rFonts w:cstheme="minorHAnsi"/>
          <w:b/>
          <w:sz w:val="28"/>
          <w:szCs w:val="28"/>
        </w:rPr>
        <w:t>2</w:t>
      </w:r>
      <w:r w:rsidR="003E162B">
        <w:rPr>
          <w:rFonts w:cstheme="minorHAnsi"/>
          <w:b/>
          <w:sz w:val="28"/>
          <w:szCs w:val="28"/>
        </w:rPr>
        <w:t>3</w:t>
      </w:r>
      <w:r w:rsidR="00867AB5" w:rsidRPr="00594203">
        <w:rPr>
          <w:rFonts w:cstheme="minorHAnsi"/>
          <w:b/>
          <w:sz w:val="28"/>
          <w:szCs w:val="28"/>
        </w:rPr>
        <w:t>/</w:t>
      </w:r>
      <w:r w:rsidR="0093232C" w:rsidRPr="00594203">
        <w:rPr>
          <w:rFonts w:cstheme="minorHAnsi"/>
          <w:b/>
          <w:sz w:val="28"/>
          <w:szCs w:val="28"/>
        </w:rPr>
        <w:t>23</w:t>
      </w:r>
    </w:p>
    <w:p w14:paraId="6B18D4E6" w14:textId="77777777" w:rsidR="00CF6FED" w:rsidRPr="00594203" w:rsidRDefault="003E162B" w:rsidP="007E05C7">
      <w:pPr>
        <w:spacing w:before="120" w:after="120"/>
        <w:jc w:val="center"/>
        <w:rPr>
          <w:rFonts w:cstheme="minorHAnsi"/>
          <w:b/>
          <w:sz w:val="28"/>
          <w:szCs w:val="28"/>
        </w:rPr>
      </w:pPr>
      <w:r>
        <w:rPr>
          <w:rFonts w:cstheme="minorHAnsi"/>
          <w:b/>
          <w:sz w:val="28"/>
          <w:szCs w:val="28"/>
        </w:rPr>
        <w:t>Peněžní prostředky státu z daně z</w:t>
      </w:r>
      <w:r w:rsidR="00322556">
        <w:rPr>
          <w:rFonts w:cstheme="minorHAnsi"/>
          <w:b/>
          <w:sz w:val="28"/>
          <w:szCs w:val="28"/>
        </w:rPr>
        <w:t> </w:t>
      </w:r>
      <w:r>
        <w:rPr>
          <w:rFonts w:cstheme="minorHAnsi"/>
          <w:b/>
          <w:sz w:val="28"/>
          <w:szCs w:val="28"/>
        </w:rPr>
        <w:t>př</w:t>
      </w:r>
      <w:r w:rsidR="00322556">
        <w:rPr>
          <w:rFonts w:cstheme="minorHAnsi"/>
          <w:b/>
          <w:sz w:val="28"/>
          <w:szCs w:val="28"/>
        </w:rPr>
        <w:t>íjmů právnických osob a správa této daně</w:t>
      </w:r>
    </w:p>
    <w:p w14:paraId="32AC6CFD" w14:textId="77777777" w:rsidR="00CF6FED" w:rsidRPr="00594203" w:rsidRDefault="00CF6FED" w:rsidP="007E05C7">
      <w:pPr>
        <w:spacing w:before="120" w:after="120"/>
        <w:jc w:val="both"/>
        <w:rPr>
          <w:rFonts w:cstheme="minorHAnsi"/>
          <w:highlight w:val="yellow"/>
        </w:rPr>
      </w:pPr>
    </w:p>
    <w:p w14:paraId="1BDDF0C4" w14:textId="77777777" w:rsidR="00CF6FED" w:rsidRPr="00594203" w:rsidRDefault="0093232C" w:rsidP="007E05C7">
      <w:pPr>
        <w:spacing w:before="120" w:after="120"/>
        <w:jc w:val="both"/>
        <w:rPr>
          <w:rFonts w:cstheme="minorHAnsi"/>
          <w:sz w:val="24"/>
          <w:szCs w:val="24"/>
        </w:rPr>
      </w:pPr>
      <w:r w:rsidRPr="00594203">
        <w:rPr>
          <w:rFonts w:cstheme="minorHAnsi"/>
          <w:sz w:val="24"/>
          <w:szCs w:val="24"/>
        </w:rPr>
        <w:t>Kontrolní akce byla zařazena do plánu kontrolní činnosti Nejvyššího kontrolního úř</w:t>
      </w:r>
      <w:r w:rsidR="00867AB5" w:rsidRPr="00594203">
        <w:rPr>
          <w:rFonts w:cstheme="minorHAnsi"/>
          <w:sz w:val="24"/>
          <w:szCs w:val="24"/>
        </w:rPr>
        <w:t xml:space="preserve">adu (dále také </w:t>
      </w:r>
      <w:r w:rsidR="00867AB5" w:rsidRPr="001341AE">
        <w:rPr>
          <w:rFonts w:cstheme="minorHAnsi"/>
          <w:sz w:val="24"/>
          <w:szCs w:val="24"/>
        </w:rPr>
        <w:t>„NKÚ</w:t>
      </w:r>
      <w:r w:rsidR="00867AB5" w:rsidRPr="00A40570">
        <w:rPr>
          <w:rFonts w:cstheme="minorHAnsi"/>
          <w:sz w:val="24"/>
          <w:szCs w:val="24"/>
        </w:rPr>
        <w:t>“</w:t>
      </w:r>
      <w:r w:rsidR="00867AB5" w:rsidRPr="00594203">
        <w:rPr>
          <w:rFonts w:cstheme="minorHAnsi"/>
          <w:sz w:val="24"/>
          <w:szCs w:val="24"/>
        </w:rPr>
        <w:t>) na rok 202</w:t>
      </w:r>
      <w:r w:rsidR="00322556">
        <w:rPr>
          <w:rFonts w:cstheme="minorHAnsi"/>
          <w:sz w:val="24"/>
          <w:szCs w:val="24"/>
        </w:rPr>
        <w:t>3</w:t>
      </w:r>
      <w:r w:rsidRPr="00594203">
        <w:rPr>
          <w:rFonts w:cstheme="minorHAnsi"/>
          <w:sz w:val="24"/>
          <w:szCs w:val="24"/>
        </w:rPr>
        <w:t xml:space="preserve"> pod číslem </w:t>
      </w:r>
      <w:r w:rsidR="00867AB5" w:rsidRPr="00594203">
        <w:rPr>
          <w:rFonts w:cstheme="minorHAnsi"/>
          <w:sz w:val="24"/>
          <w:szCs w:val="24"/>
        </w:rPr>
        <w:t>2</w:t>
      </w:r>
      <w:r w:rsidR="00322556">
        <w:rPr>
          <w:rFonts w:cstheme="minorHAnsi"/>
          <w:sz w:val="24"/>
          <w:szCs w:val="24"/>
        </w:rPr>
        <w:t>3</w:t>
      </w:r>
      <w:r w:rsidR="00867AB5" w:rsidRPr="00594203">
        <w:rPr>
          <w:rFonts w:cstheme="minorHAnsi"/>
          <w:sz w:val="24"/>
          <w:szCs w:val="24"/>
        </w:rPr>
        <w:t>/</w:t>
      </w:r>
      <w:r w:rsidR="00BF03A7" w:rsidRPr="00594203">
        <w:rPr>
          <w:rFonts w:cstheme="minorHAnsi"/>
          <w:sz w:val="24"/>
          <w:szCs w:val="24"/>
        </w:rPr>
        <w:t>23</w:t>
      </w:r>
      <w:r w:rsidRPr="00594203">
        <w:rPr>
          <w:rFonts w:cstheme="minorHAnsi"/>
          <w:sz w:val="24"/>
          <w:szCs w:val="24"/>
        </w:rPr>
        <w:t xml:space="preserve">. Kontrolní akci řídil a kontrolní závěr vypracoval člen NKÚ </w:t>
      </w:r>
      <w:r w:rsidR="00322556" w:rsidRPr="00322556">
        <w:rPr>
          <w:rFonts w:cstheme="minorHAnsi"/>
          <w:sz w:val="24"/>
          <w:szCs w:val="24"/>
        </w:rPr>
        <w:t>RNDr.</w:t>
      </w:r>
      <w:r w:rsidR="00075E5B" w:rsidRPr="00594203">
        <w:rPr>
          <w:rFonts w:cstheme="minorHAnsi"/>
          <w:sz w:val="24"/>
          <w:szCs w:val="24"/>
        </w:rPr>
        <w:t xml:space="preserve"> </w:t>
      </w:r>
      <w:r w:rsidR="00322556">
        <w:rPr>
          <w:rFonts w:cstheme="minorHAnsi"/>
          <w:sz w:val="24"/>
          <w:szCs w:val="24"/>
        </w:rPr>
        <w:t>Vladimír</w:t>
      </w:r>
      <w:r w:rsidR="00867AB5" w:rsidRPr="00594203">
        <w:rPr>
          <w:rFonts w:cstheme="minorHAnsi"/>
          <w:sz w:val="24"/>
          <w:szCs w:val="24"/>
        </w:rPr>
        <w:t xml:space="preserve"> </w:t>
      </w:r>
      <w:r w:rsidR="00322556">
        <w:rPr>
          <w:rFonts w:cstheme="minorHAnsi"/>
          <w:sz w:val="24"/>
          <w:szCs w:val="24"/>
        </w:rPr>
        <w:t>Koníček</w:t>
      </w:r>
      <w:r w:rsidRPr="00594203">
        <w:rPr>
          <w:rFonts w:cstheme="minorHAnsi"/>
          <w:sz w:val="24"/>
          <w:szCs w:val="24"/>
        </w:rPr>
        <w:t>.</w:t>
      </w:r>
    </w:p>
    <w:p w14:paraId="2C6A544A" w14:textId="77777777" w:rsidR="00151785" w:rsidRPr="00594203" w:rsidRDefault="0093232C" w:rsidP="007E05C7">
      <w:pPr>
        <w:spacing w:before="120" w:after="120"/>
        <w:jc w:val="both"/>
        <w:rPr>
          <w:rFonts w:cstheme="minorHAnsi"/>
          <w:sz w:val="24"/>
          <w:szCs w:val="24"/>
        </w:rPr>
      </w:pPr>
      <w:r w:rsidRPr="00594203">
        <w:rPr>
          <w:rFonts w:cstheme="minorHAnsi"/>
          <w:sz w:val="24"/>
          <w:szCs w:val="24"/>
        </w:rPr>
        <w:t xml:space="preserve">Cílem kontroly NKÚ bylo </w:t>
      </w:r>
      <w:r w:rsidR="00594203" w:rsidRPr="00594203">
        <w:rPr>
          <w:rFonts w:cstheme="minorHAnsi"/>
          <w:sz w:val="24"/>
          <w:szCs w:val="24"/>
        </w:rPr>
        <w:t>prověřit</w:t>
      </w:r>
      <w:r w:rsidRPr="00594203">
        <w:rPr>
          <w:rFonts w:cstheme="minorHAnsi"/>
          <w:sz w:val="24"/>
          <w:szCs w:val="24"/>
        </w:rPr>
        <w:t xml:space="preserve">, </w:t>
      </w:r>
      <w:r w:rsidR="00594203" w:rsidRPr="00594203">
        <w:rPr>
          <w:rFonts w:cstheme="minorHAnsi"/>
          <w:sz w:val="24"/>
          <w:szCs w:val="24"/>
        </w:rPr>
        <w:t xml:space="preserve">zda </w:t>
      </w:r>
      <w:r w:rsidR="00322556">
        <w:rPr>
          <w:rFonts w:cstheme="minorHAnsi"/>
          <w:sz w:val="24"/>
          <w:szCs w:val="24"/>
        </w:rPr>
        <w:t>po zavedení nových nástrojů do zákona o dani z příjmů došlo ke snížení daňových úniků na dani z příjmů právnických osob a zefektivnění správy daně</w:t>
      </w:r>
      <w:r w:rsidR="00594203" w:rsidRPr="00594203">
        <w:rPr>
          <w:rFonts w:cstheme="minorHAnsi"/>
          <w:sz w:val="24"/>
          <w:szCs w:val="24"/>
        </w:rPr>
        <w:t>.</w:t>
      </w:r>
    </w:p>
    <w:p w14:paraId="0630607F" w14:textId="77777777" w:rsidR="00CC14F0" w:rsidRPr="008A039D" w:rsidRDefault="0093232C" w:rsidP="007E05C7">
      <w:pPr>
        <w:spacing w:before="120" w:after="120"/>
        <w:jc w:val="both"/>
        <w:rPr>
          <w:rFonts w:cstheme="minorHAnsi"/>
          <w:sz w:val="24"/>
          <w:szCs w:val="24"/>
        </w:rPr>
      </w:pPr>
      <w:r w:rsidRPr="00594203">
        <w:rPr>
          <w:rFonts w:cstheme="minorHAnsi"/>
          <w:sz w:val="24"/>
          <w:szCs w:val="24"/>
        </w:rPr>
        <w:t xml:space="preserve">Kontrolováno bylo období let </w:t>
      </w:r>
      <w:r w:rsidR="0053647A" w:rsidRPr="00594203">
        <w:rPr>
          <w:rFonts w:cstheme="minorHAnsi"/>
          <w:sz w:val="24"/>
          <w:szCs w:val="24"/>
        </w:rPr>
        <w:t>201</w:t>
      </w:r>
      <w:r w:rsidR="00AF6286">
        <w:rPr>
          <w:rFonts w:cstheme="minorHAnsi"/>
          <w:sz w:val="24"/>
          <w:szCs w:val="24"/>
        </w:rPr>
        <w:t>8</w:t>
      </w:r>
      <w:r w:rsidR="002055DC">
        <w:rPr>
          <w:rFonts w:cstheme="minorHAnsi"/>
          <w:sz w:val="24"/>
          <w:szCs w:val="24"/>
        </w:rPr>
        <w:t xml:space="preserve"> až </w:t>
      </w:r>
      <w:r w:rsidR="0053647A" w:rsidRPr="00594203">
        <w:rPr>
          <w:rFonts w:cstheme="minorHAnsi"/>
          <w:sz w:val="24"/>
          <w:szCs w:val="24"/>
        </w:rPr>
        <w:t>202</w:t>
      </w:r>
      <w:r w:rsidR="00594203" w:rsidRPr="00594203">
        <w:rPr>
          <w:rFonts w:cstheme="minorHAnsi"/>
          <w:sz w:val="24"/>
          <w:szCs w:val="24"/>
        </w:rPr>
        <w:t>2</w:t>
      </w:r>
      <w:r w:rsidRPr="00594203">
        <w:rPr>
          <w:rFonts w:cstheme="minorHAnsi"/>
          <w:sz w:val="24"/>
          <w:szCs w:val="24"/>
        </w:rPr>
        <w:t xml:space="preserve"> a v případě věcných souvislostí i období předcházející a </w:t>
      </w:r>
      <w:r w:rsidR="002A4F5F">
        <w:rPr>
          <w:rFonts w:cstheme="minorHAnsi"/>
          <w:sz w:val="24"/>
          <w:szCs w:val="24"/>
        </w:rPr>
        <w:t>následující</w:t>
      </w:r>
      <w:r w:rsidRPr="00594203">
        <w:rPr>
          <w:rFonts w:cstheme="minorHAnsi"/>
          <w:sz w:val="24"/>
          <w:szCs w:val="24"/>
        </w:rPr>
        <w:t>.</w:t>
      </w:r>
    </w:p>
    <w:p w14:paraId="08F291CD" w14:textId="77777777" w:rsidR="00CC14F0" w:rsidRPr="001E03AD" w:rsidRDefault="0093232C" w:rsidP="007E05C7">
      <w:pPr>
        <w:spacing w:before="120" w:after="120"/>
        <w:jc w:val="both"/>
        <w:rPr>
          <w:rFonts w:cstheme="minorHAnsi"/>
          <w:sz w:val="24"/>
          <w:szCs w:val="24"/>
        </w:rPr>
      </w:pPr>
      <w:r w:rsidRPr="008A039D">
        <w:rPr>
          <w:rFonts w:cstheme="minorHAnsi"/>
          <w:sz w:val="24"/>
          <w:szCs w:val="24"/>
        </w:rPr>
        <w:t xml:space="preserve">Kontrola byla u kontrolovaných osob prováděna v období od </w:t>
      </w:r>
      <w:r w:rsidR="00185EFA">
        <w:rPr>
          <w:rFonts w:cstheme="minorHAnsi"/>
          <w:sz w:val="24"/>
          <w:szCs w:val="24"/>
        </w:rPr>
        <w:t>října</w:t>
      </w:r>
      <w:r w:rsidR="00594203" w:rsidRPr="008A039D">
        <w:rPr>
          <w:rFonts w:cstheme="minorHAnsi"/>
          <w:sz w:val="24"/>
          <w:szCs w:val="24"/>
        </w:rPr>
        <w:t xml:space="preserve"> 202</w:t>
      </w:r>
      <w:r w:rsidR="00322556">
        <w:rPr>
          <w:rFonts w:cstheme="minorHAnsi"/>
          <w:sz w:val="24"/>
          <w:szCs w:val="24"/>
        </w:rPr>
        <w:t>3</w:t>
      </w:r>
      <w:r w:rsidRPr="008A039D">
        <w:rPr>
          <w:rFonts w:cstheme="minorHAnsi"/>
          <w:sz w:val="24"/>
          <w:szCs w:val="24"/>
        </w:rPr>
        <w:t xml:space="preserve"> do </w:t>
      </w:r>
      <w:r w:rsidR="00185EFA">
        <w:rPr>
          <w:rFonts w:cstheme="minorHAnsi"/>
          <w:sz w:val="24"/>
          <w:szCs w:val="24"/>
        </w:rPr>
        <w:t>června</w:t>
      </w:r>
      <w:r w:rsidRPr="001E03AD">
        <w:rPr>
          <w:rFonts w:cstheme="minorHAnsi"/>
          <w:sz w:val="24"/>
          <w:szCs w:val="24"/>
        </w:rPr>
        <w:t xml:space="preserve"> 202</w:t>
      </w:r>
      <w:r w:rsidR="00322556">
        <w:rPr>
          <w:rFonts w:cstheme="minorHAnsi"/>
          <w:sz w:val="24"/>
          <w:szCs w:val="24"/>
        </w:rPr>
        <w:t>4</w:t>
      </w:r>
      <w:r w:rsidRPr="001E03AD">
        <w:rPr>
          <w:rFonts w:cstheme="minorHAnsi"/>
          <w:sz w:val="24"/>
          <w:szCs w:val="24"/>
        </w:rPr>
        <w:t>.</w:t>
      </w:r>
    </w:p>
    <w:p w14:paraId="5CD018A6" w14:textId="77777777" w:rsidR="00CC14F0" w:rsidRPr="00594203" w:rsidRDefault="00CC14F0" w:rsidP="00A56EA2">
      <w:pPr>
        <w:spacing w:before="120" w:after="120"/>
        <w:jc w:val="both"/>
        <w:rPr>
          <w:rFonts w:cstheme="minorHAnsi"/>
          <w:sz w:val="24"/>
          <w:szCs w:val="24"/>
          <w:highlight w:val="yellow"/>
        </w:rPr>
      </w:pPr>
    </w:p>
    <w:p w14:paraId="364E7478" w14:textId="77777777" w:rsidR="00A56EA2" w:rsidRPr="00594203" w:rsidRDefault="00A56EA2" w:rsidP="007E05C7">
      <w:pPr>
        <w:spacing w:before="120" w:after="120"/>
        <w:jc w:val="both"/>
        <w:rPr>
          <w:rFonts w:cstheme="minorHAnsi"/>
          <w:sz w:val="24"/>
          <w:szCs w:val="24"/>
          <w:highlight w:val="yellow"/>
        </w:rPr>
      </w:pPr>
    </w:p>
    <w:p w14:paraId="7AD6E31A" w14:textId="77777777" w:rsidR="00DC3FD9" w:rsidRPr="005D020E" w:rsidRDefault="0093232C" w:rsidP="007E05C7">
      <w:pPr>
        <w:spacing w:before="120" w:after="120"/>
        <w:jc w:val="both"/>
        <w:rPr>
          <w:rFonts w:cstheme="minorHAnsi"/>
          <w:b/>
          <w:sz w:val="24"/>
          <w:szCs w:val="24"/>
        </w:rPr>
      </w:pPr>
      <w:r w:rsidRPr="005D020E">
        <w:rPr>
          <w:rFonts w:cstheme="minorHAnsi"/>
          <w:b/>
          <w:sz w:val="24"/>
          <w:szCs w:val="24"/>
        </w:rPr>
        <w:t>Kontrolované osoby:</w:t>
      </w:r>
    </w:p>
    <w:p w14:paraId="20D34F8A" w14:textId="77777777" w:rsidR="00DC3FD9" w:rsidRPr="005D020E" w:rsidRDefault="0093232C" w:rsidP="00FE168A">
      <w:pPr>
        <w:spacing w:after="0"/>
        <w:jc w:val="both"/>
        <w:rPr>
          <w:rFonts w:cstheme="minorHAnsi"/>
          <w:color w:val="000000"/>
          <w:sz w:val="24"/>
          <w:szCs w:val="24"/>
        </w:rPr>
      </w:pPr>
      <w:r w:rsidRPr="005D020E">
        <w:rPr>
          <w:rFonts w:cstheme="minorHAnsi"/>
          <w:color w:val="000000"/>
          <w:sz w:val="24"/>
          <w:szCs w:val="24"/>
        </w:rPr>
        <w:t xml:space="preserve">Ministerstvo </w:t>
      </w:r>
      <w:r w:rsidR="00DE41E3" w:rsidRPr="005D020E">
        <w:rPr>
          <w:rFonts w:cstheme="minorHAnsi"/>
          <w:color w:val="000000"/>
          <w:sz w:val="24"/>
          <w:szCs w:val="24"/>
        </w:rPr>
        <w:t>financí</w:t>
      </w:r>
      <w:r w:rsidRPr="005D020E">
        <w:rPr>
          <w:rFonts w:cstheme="minorHAnsi"/>
          <w:color w:val="000000"/>
          <w:sz w:val="24"/>
          <w:szCs w:val="24"/>
        </w:rPr>
        <w:t xml:space="preserve"> (dále také „</w:t>
      </w:r>
      <w:r w:rsidR="00DE41E3" w:rsidRPr="005D020E">
        <w:rPr>
          <w:rFonts w:cstheme="minorHAnsi"/>
          <w:i/>
          <w:color w:val="000000"/>
          <w:sz w:val="24"/>
          <w:szCs w:val="24"/>
        </w:rPr>
        <w:t>MF</w:t>
      </w:r>
      <w:r w:rsidRPr="005D020E">
        <w:rPr>
          <w:rFonts w:cstheme="minorHAnsi"/>
          <w:color w:val="000000"/>
          <w:sz w:val="24"/>
          <w:szCs w:val="24"/>
        </w:rPr>
        <w:t>“);</w:t>
      </w:r>
    </w:p>
    <w:p w14:paraId="659F149B" w14:textId="77777777" w:rsidR="00F37909" w:rsidRPr="005D020E" w:rsidRDefault="0093232C" w:rsidP="00FE168A">
      <w:pPr>
        <w:spacing w:after="0"/>
        <w:jc w:val="both"/>
        <w:rPr>
          <w:rFonts w:cstheme="minorHAnsi"/>
          <w:color w:val="000000"/>
          <w:sz w:val="24"/>
          <w:szCs w:val="24"/>
        </w:rPr>
      </w:pPr>
      <w:r w:rsidRPr="005D020E">
        <w:rPr>
          <w:rFonts w:cstheme="minorHAnsi"/>
          <w:color w:val="000000"/>
          <w:sz w:val="24"/>
          <w:szCs w:val="24"/>
        </w:rPr>
        <w:t>Generální finanční ředitelství</w:t>
      </w:r>
      <w:r w:rsidR="00975F9C" w:rsidRPr="005D020E">
        <w:rPr>
          <w:rFonts w:cstheme="minorHAnsi"/>
          <w:color w:val="000000"/>
          <w:sz w:val="24"/>
          <w:szCs w:val="24"/>
        </w:rPr>
        <w:t>, Praha</w:t>
      </w:r>
      <w:r w:rsidR="00DC3FD9" w:rsidRPr="005D020E">
        <w:rPr>
          <w:rFonts w:cstheme="minorHAnsi"/>
          <w:color w:val="000000"/>
          <w:sz w:val="24"/>
          <w:szCs w:val="24"/>
        </w:rPr>
        <w:t xml:space="preserve"> (dále také „</w:t>
      </w:r>
      <w:r w:rsidRPr="005D020E">
        <w:rPr>
          <w:rFonts w:cstheme="minorHAnsi"/>
          <w:i/>
          <w:color w:val="000000"/>
          <w:sz w:val="24"/>
          <w:szCs w:val="24"/>
        </w:rPr>
        <w:t>GFŘ</w:t>
      </w:r>
      <w:r w:rsidR="00CB383B" w:rsidRPr="005D020E">
        <w:rPr>
          <w:rFonts w:cstheme="minorHAnsi"/>
          <w:color w:val="000000"/>
          <w:sz w:val="24"/>
          <w:szCs w:val="24"/>
        </w:rPr>
        <w:t>“)</w:t>
      </w:r>
      <w:r w:rsidRPr="005D020E">
        <w:rPr>
          <w:rFonts w:cstheme="minorHAnsi"/>
          <w:color w:val="000000"/>
          <w:sz w:val="24"/>
          <w:szCs w:val="24"/>
        </w:rPr>
        <w:t>;</w:t>
      </w:r>
    </w:p>
    <w:p w14:paraId="22E67659" w14:textId="77777777" w:rsidR="00F37909" w:rsidRPr="005D020E" w:rsidRDefault="00322556" w:rsidP="00FE168A">
      <w:pPr>
        <w:spacing w:after="0"/>
        <w:jc w:val="both"/>
        <w:rPr>
          <w:rFonts w:cstheme="minorHAnsi"/>
          <w:color w:val="000000"/>
          <w:sz w:val="24"/>
          <w:szCs w:val="24"/>
        </w:rPr>
      </w:pPr>
      <w:r>
        <w:rPr>
          <w:rFonts w:cstheme="minorHAnsi"/>
          <w:color w:val="000000"/>
          <w:sz w:val="24"/>
          <w:szCs w:val="24"/>
        </w:rPr>
        <w:t>Specializovaný f</w:t>
      </w:r>
      <w:r w:rsidR="00DE41E3" w:rsidRPr="005D020E">
        <w:rPr>
          <w:rFonts w:cstheme="minorHAnsi"/>
          <w:color w:val="000000"/>
          <w:sz w:val="24"/>
          <w:szCs w:val="24"/>
        </w:rPr>
        <w:t>inanční úřad</w:t>
      </w:r>
      <w:r w:rsidR="00B00B0A">
        <w:rPr>
          <w:rFonts w:cstheme="minorHAnsi"/>
          <w:color w:val="000000"/>
          <w:sz w:val="24"/>
          <w:szCs w:val="24"/>
        </w:rPr>
        <w:t>, Praha</w:t>
      </w:r>
      <w:r w:rsidR="00DE41E3" w:rsidRPr="005D020E">
        <w:rPr>
          <w:rFonts w:cstheme="minorHAnsi"/>
          <w:color w:val="000000"/>
          <w:sz w:val="24"/>
          <w:szCs w:val="24"/>
        </w:rPr>
        <w:t xml:space="preserve"> </w:t>
      </w:r>
      <w:r w:rsidR="0093232C" w:rsidRPr="005D020E">
        <w:rPr>
          <w:rFonts w:cstheme="minorHAnsi"/>
          <w:color w:val="000000"/>
          <w:sz w:val="24"/>
          <w:szCs w:val="24"/>
        </w:rPr>
        <w:t>(dále také „</w:t>
      </w:r>
      <w:r w:rsidRPr="00322556">
        <w:rPr>
          <w:rFonts w:cstheme="minorHAnsi"/>
          <w:i/>
          <w:color w:val="000000"/>
          <w:sz w:val="24"/>
          <w:szCs w:val="24"/>
        </w:rPr>
        <w:t>S</w:t>
      </w:r>
      <w:r w:rsidR="005D020E" w:rsidRPr="00322556">
        <w:rPr>
          <w:rFonts w:cstheme="minorHAnsi"/>
          <w:i/>
          <w:color w:val="000000"/>
          <w:sz w:val="24"/>
          <w:szCs w:val="24"/>
        </w:rPr>
        <w:t>FÚ</w:t>
      </w:r>
      <w:r w:rsidR="0093232C" w:rsidRPr="005D020E">
        <w:rPr>
          <w:rFonts w:cstheme="minorHAnsi"/>
          <w:color w:val="000000"/>
          <w:sz w:val="24"/>
          <w:szCs w:val="24"/>
        </w:rPr>
        <w:t>“);</w:t>
      </w:r>
    </w:p>
    <w:p w14:paraId="7E56E75B" w14:textId="5324FD7A" w:rsidR="00DC3FD9" w:rsidRPr="005D020E" w:rsidRDefault="005D020E" w:rsidP="00FE168A">
      <w:pPr>
        <w:spacing w:after="120"/>
        <w:jc w:val="both"/>
        <w:rPr>
          <w:rFonts w:cstheme="minorHAnsi"/>
          <w:color w:val="000000"/>
          <w:sz w:val="24"/>
          <w:szCs w:val="24"/>
        </w:rPr>
      </w:pPr>
      <w:r w:rsidRPr="005D020E">
        <w:rPr>
          <w:rFonts w:cstheme="minorHAnsi"/>
          <w:color w:val="000000"/>
          <w:sz w:val="24"/>
          <w:szCs w:val="24"/>
        </w:rPr>
        <w:t xml:space="preserve">Finanční úřad pro </w:t>
      </w:r>
      <w:r w:rsidR="00322556" w:rsidRPr="005D020E">
        <w:rPr>
          <w:rFonts w:cstheme="minorHAnsi"/>
          <w:color w:val="000000"/>
          <w:sz w:val="24"/>
          <w:szCs w:val="24"/>
        </w:rPr>
        <w:t>Jihomoravský kraj</w:t>
      </w:r>
      <w:r w:rsidR="00B00B0A">
        <w:rPr>
          <w:rFonts w:cstheme="minorHAnsi"/>
          <w:color w:val="000000"/>
          <w:sz w:val="24"/>
          <w:szCs w:val="24"/>
        </w:rPr>
        <w:t>, Brno</w:t>
      </w:r>
      <w:r w:rsidR="00CB383B" w:rsidRPr="005D020E">
        <w:rPr>
          <w:rFonts w:cstheme="minorHAnsi"/>
          <w:color w:val="000000"/>
          <w:sz w:val="24"/>
          <w:szCs w:val="24"/>
        </w:rPr>
        <w:t>.</w:t>
      </w:r>
    </w:p>
    <w:p w14:paraId="66F682A5" w14:textId="77777777" w:rsidR="00CC14F0" w:rsidRPr="00594203" w:rsidRDefault="00CC14F0" w:rsidP="007E05C7">
      <w:pPr>
        <w:spacing w:before="120" w:after="120"/>
        <w:jc w:val="both"/>
        <w:rPr>
          <w:rFonts w:cstheme="minorHAnsi"/>
          <w:sz w:val="24"/>
          <w:szCs w:val="24"/>
          <w:highlight w:val="yellow"/>
        </w:rPr>
      </w:pPr>
    </w:p>
    <w:p w14:paraId="19FEE60F" w14:textId="6ED3E68F" w:rsidR="00CF6FED" w:rsidRPr="00366867" w:rsidRDefault="0093232C" w:rsidP="007E05C7">
      <w:pPr>
        <w:spacing w:before="120" w:after="120"/>
        <w:jc w:val="both"/>
        <w:rPr>
          <w:rFonts w:cstheme="minorHAnsi"/>
          <w:color w:val="000000"/>
          <w:sz w:val="24"/>
          <w:szCs w:val="24"/>
        </w:rPr>
      </w:pPr>
      <w:r w:rsidRPr="00366867">
        <w:rPr>
          <w:rFonts w:cstheme="minorHAnsi"/>
          <w:b/>
          <w:i/>
          <w:color w:val="000000"/>
          <w:spacing w:val="40"/>
          <w:sz w:val="24"/>
          <w:szCs w:val="24"/>
        </w:rPr>
        <w:t xml:space="preserve">Kolegium  </w:t>
      </w:r>
      <w:r w:rsidRPr="00366867">
        <w:rPr>
          <w:rFonts w:cstheme="minorHAnsi"/>
          <w:b/>
          <w:i/>
          <w:color w:val="000000"/>
          <w:sz w:val="24"/>
          <w:szCs w:val="24"/>
        </w:rPr>
        <w:t xml:space="preserve"> </w:t>
      </w:r>
      <w:r w:rsidRPr="00366867">
        <w:rPr>
          <w:rFonts w:cstheme="minorHAnsi"/>
          <w:b/>
          <w:i/>
          <w:color w:val="000000"/>
          <w:spacing w:val="40"/>
          <w:sz w:val="24"/>
          <w:szCs w:val="24"/>
        </w:rPr>
        <w:t>NKÚ</w:t>
      </w:r>
      <w:r w:rsidRPr="00366867">
        <w:rPr>
          <w:rFonts w:cstheme="minorHAnsi"/>
          <w:b/>
          <w:i/>
          <w:color w:val="000000"/>
          <w:sz w:val="24"/>
          <w:szCs w:val="24"/>
        </w:rPr>
        <w:t xml:space="preserve">   </w:t>
      </w:r>
      <w:r w:rsidRPr="00366867">
        <w:rPr>
          <w:rFonts w:cstheme="minorHAnsi"/>
          <w:color w:val="000000"/>
          <w:sz w:val="24"/>
          <w:szCs w:val="24"/>
        </w:rPr>
        <w:t xml:space="preserve">na svém </w:t>
      </w:r>
      <w:r w:rsidR="00EA56FF">
        <w:rPr>
          <w:rFonts w:cstheme="minorHAnsi"/>
          <w:color w:val="000000"/>
          <w:sz w:val="24"/>
          <w:szCs w:val="24"/>
        </w:rPr>
        <w:t>XIV</w:t>
      </w:r>
      <w:r w:rsidRPr="00366867">
        <w:rPr>
          <w:rFonts w:cstheme="minorHAnsi"/>
          <w:color w:val="000000"/>
          <w:sz w:val="24"/>
          <w:szCs w:val="24"/>
        </w:rPr>
        <w:t xml:space="preserve">. jednání, které se konalo dne </w:t>
      </w:r>
      <w:r w:rsidR="00EA56FF">
        <w:rPr>
          <w:rFonts w:cstheme="minorHAnsi"/>
          <w:color w:val="000000"/>
          <w:sz w:val="24"/>
          <w:szCs w:val="24"/>
        </w:rPr>
        <w:t>30. zá</w:t>
      </w:r>
      <w:r w:rsidR="00D80447">
        <w:rPr>
          <w:rFonts w:cstheme="minorHAnsi"/>
          <w:color w:val="000000"/>
          <w:sz w:val="24"/>
          <w:szCs w:val="24"/>
        </w:rPr>
        <w:t>ř</w:t>
      </w:r>
      <w:r w:rsidR="00EA56FF">
        <w:rPr>
          <w:rFonts w:cstheme="minorHAnsi"/>
          <w:color w:val="000000"/>
          <w:sz w:val="24"/>
          <w:szCs w:val="24"/>
        </w:rPr>
        <w:t>í 2024</w:t>
      </w:r>
      <w:r w:rsidRPr="00366867">
        <w:rPr>
          <w:rFonts w:cstheme="minorHAnsi"/>
          <w:color w:val="000000"/>
          <w:sz w:val="24"/>
          <w:szCs w:val="24"/>
        </w:rPr>
        <w:t>,</w:t>
      </w:r>
    </w:p>
    <w:p w14:paraId="62CC996D" w14:textId="1125B66B" w:rsidR="00CF6FED" w:rsidRPr="00366867" w:rsidRDefault="0093232C" w:rsidP="007E05C7">
      <w:pPr>
        <w:spacing w:before="120" w:after="120"/>
        <w:jc w:val="both"/>
        <w:rPr>
          <w:rFonts w:cstheme="minorHAnsi"/>
          <w:color w:val="000000"/>
          <w:sz w:val="24"/>
          <w:szCs w:val="24"/>
        </w:rPr>
      </w:pPr>
      <w:r w:rsidRPr="00366867">
        <w:rPr>
          <w:rFonts w:cstheme="minorHAnsi"/>
          <w:b/>
          <w:i/>
          <w:color w:val="000000"/>
          <w:spacing w:val="40"/>
          <w:sz w:val="24"/>
          <w:szCs w:val="24"/>
        </w:rPr>
        <w:t>schválilo</w:t>
      </w:r>
      <w:r w:rsidRPr="00366867">
        <w:rPr>
          <w:rFonts w:cstheme="minorHAnsi"/>
          <w:b/>
          <w:i/>
          <w:color w:val="000000"/>
          <w:sz w:val="24"/>
          <w:szCs w:val="24"/>
        </w:rPr>
        <w:t xml:space="preserve">   </w:t>
      </w:r>
      <w:r w:rsidR="0090063E" w:rsidRPr="00366867">
        <w:rPr>
          <w:rFonts w:cstheme="minorHAnsi"/>
          <w:color w:val="000000"/>
          <w:sz w:val="24"/>
          <w:szCs w:val="24"/>
        </w:rPr>
        <w:t xml:space="preserve">usnesením č. </w:t>
      </w:r>
      <w:r w:rsidR="009346BA">
        <w:rPr>
          <w:rFonts w:cstheme="minorHAnsi"/>
          <w:color w:val="000000"/>
          <w:sz w:val="24"/>
          <w:szCs w:val="24"/>
        </w:rPr>
        <w:t>10</w:t>
      </w:r>
      <w:r w:rsidR="00EA56FF">
        <w:rPr>
          <w:rFonts w:cstheme="minorHAnsi"/>
          <w:color w:val="000000"/>
          <w:sz w:val="24"/>
          <w:szCs w:val="24"/>
        </w:rPr>
        <w:t>/XIV</w:t>
      </w:r>
      <w:r w:rsidR="0090063E" w:rsidRPr="00366867">
        <w:rPr>
          <w:rFonts w:cstheme="minorHAnsi"/>
          <w:color w:val="000000"/>
          <w:sz w:val="24"/>
          <w:szCs w:val="24"/>
        </w:rPr>
        <w:t>/202</w:t>
      </w:r>
      <w:r w:rsidR="00322556">
        <w:rPr>
          <w:rFonts w:cstheme="minorHAnsi"/>
          <w:color w:val="000000"/>
          <w:sz w:val="24"/>
          <w:szCs w:val="24"/>
        </w:rPr>
        <w:t>4</w:t>
      </w:r>
    </w:p>
    <w:p w14:paraId="5E26CB7A" w14:textId="77777777" w:rsidR="00CF6FED" w:rsidRPr="00366867" w:rsidRDefault="0093232C" w:rsidP="007E05C7">
      <w:pPr>
        <w:spacing w:before="120" w:after="120"/>
        <w:jc w:val="both"/>
        <w:rPr>
          <w:rFonts w:cstheme="minorHAnsi"/>
          <w:color w:val="000000"/>
          <w:sz w:val="24"/>
          <w:szCs w:val="24"/>
        </w:rPr>
      </w:pPr>
      <w:r w:rsidRPr="00366867">
        <w:rPr>
          <w:rFonts w:cstheme="minorHAnsi"/>
          <w:b/>
          <w:i/>
          <w:color w:val="000000"/>
          <w:spacing w:val="40"/>
          <w:sz w:val="24"/>
          <w:szCs w:val="24"/>
        </w:rPr>
        <w:t>kontrolní</w:t>
      </w:r>
      <w:r w:rsidRPr="00366867">
        <w:rPr>
          <w:rFonts w:cstheme="minorHAnsi"/>
          <w:b/>
          <w:i/>
          <w:color w:val="000000"/>
          <w:sz w:val="24"/>
          <w:szCs w:val="24"/>
        </w:rPr>
        <w:t xml:space="preserve">   </w:t>
      </w:r>
      <w:r w:rsidRPr="00366867">
        <w:rPr>
          <w:rFonts w:cstheme="minorHAnsi"/>
          <w:b/>
          <w:i/>
          <w:color w:val="000000"/>
          <w:spacing w:val="40"/>
          <w:sz w:val="24"/>
          <w:szCs w:val="24"/>
        </w:rPr>
        <w:t>závěr</w:t>
      </w:r>
      <w:r w:rsidRPr="00366867">
        <w:rPr>
          <w:rFonts w:cstheme="minorHAnsi"/>
          <w:b/>
          <w:i/>
          <w:color w:val="000000"/>
          <w:sz w:val="24"/>
          <w:szCs w:val="24"/>
        </w:rPr>
        <w:t xml:space="preserve">   </w:t>
      </w:r>
      <w:r w:rsidRPr="00366867">
        <w:rPr>
          <w:rFonts w:cstheme="minorHAnsi"/>
          <w:color w:val="000000"/>
          <w:sz w:val="24"/>
          <w:szCs w:val="24"/>
        </w:rPr>
        <w:t>v tomto znění:</w:t>
      </w:r>
    </w:p>
    <w:p w14:paraId="11590235" w14:textId="77777777" w:rsidR="00CC14F0" w:rsidRPr="00594203" w:rsidRDefault="00CC14F0" w:rsidP="007E05C7">
      <w:pPr>
        <w:spacing w:before="120" w:after="120"/>
        <w:jc w:val="both"/>
        <w:rPr>
          <w:rFonts w:cstheme="minorHAnsi"/>
          <w:color w:val="000000"/>
          <w:sz w:val="24"/>
          <w:szCs w:val="24"/>
          <w:highlight w:val="yellow"/>
        </w:rPr>
      </w:pPr>
    </w:p>
    <w:p w14:paraId="1EB65A89" w14:textId="77777777" w:rsidR="0042774B" w:rsidRDefault="0042774B" w:rsidP="000D3D2C">
      <w:pPr>
        <w:spacing w:before="120" w:after="120"/>
        <w:rPr>
          <w:rFonts w:cstheme="minorHAnsi"/>
          <w:color w:val="000000"/>
          <w:sz w:val="24"/>
          <w:szCs w:val="24"/>
          <w:highlight w:val="yellow"/>
        </w:rPr>
      </w:pPr>
      <w:r>
        <w:rPr>
          <w:rFonts w:cstheme="minorHAnsi"/>
          <w:color w:val="000000"/>
          <w:sz w:val="24"/>
          <w:szCs w:val="24"/>
          <w:highlight w:val="yellow"/>
        </w:rPr>
        <w:br w:type="page"/>
      </w:r>
    </w:p>
    <w:p w14:paraId="54BC04D9" w14:textId="77777777" w:rsidR="0043539E" w:rsidRDefault="0043539E" w:rsidP="00FE168A">
      <w:pPr>
        <w:spacing w:before="120" w:after="120"/>
        <w:jc w:val="center"/>
        <w:rPr>
          <w:rFonts w:cstheme="minorHAnsi"/>
          <w:b/>
          <w:sz w:val="32"/>
          <w:szCs w:val="32"/>
          <w:lang w:eastAsia="cs-CZ"/>
        </w:rPr>
      </w:pPr>
      <w:r w:rsidRPr="006A30CF">
        <w:rPr>
          <w:rFonts w:cstheme="minorHAnsi"/>
          <w:b/>
          <w:sz w:val="32"/>
          <w:szCs w:val="32"/>
          <w:lang w:eastAsia="cs-CZ"/>
        </w:rPr>
        <w:lastRenderedPageBreak/>
        <w:t>Správa daně z příjmů právnických osob</w:t>
      </w:r>
    </w:p>
    <w:p w14:paraId="4C12D2D2" w14:textId="77777777" w:rsidR="00163F9B" w:rsidRPr="006A30CF" w:rsidRDefault="00163F9B" w:rsidP="0043539E">
      <w:pPr>
        <w:spacing w:before="120" w:after="120"/>
        <w:rPr>
          <w:rFonts w:cstheme="minorHAnsi"/>
          <w:b/>
          <w:sz w:val="32"/>
          <w:szCs w:val="32"/>
          <w:lang w:eastAsia="cs-CZ"/>
        </w:rPr>
      </w:pPr>
    </w:p>
    <w:tbl>
      <w:tblPr>
        <w:tblStyle w:val="Mkatabulky"/>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30CF" w:rsidRPr="00097737" w14:paraId="5E9DE35C" w14:textId="77777777" w:rsidTr="00163F9B">
        <w:tc>
          <w:tcPr>
            <w:tcW w:w="4530" w:type="dxa"/>
          </w:tcPr>
          <w:p w14:paraId="092EA1E7" w14:textId="77777777" w:rsidR="006A30CF" w:rsidRPr="007B2A8D" w:rsidRDefault="006A30CF" w:rsidP="006A30CF">
            <w:pPr>
              <w:spacing w:line="360" w:lineRule="auto"/>
              <w:ind w:left="255"/>
              <w:jc w:val="center"/>
              <w:rPr>
                <w:rFonts w:cstheme="minorHAnsi"/>
                <w:b/>
                <w:lang w:eastAsia="cs-CZ"/>
              </w:rPr>
            </w:pPr>
          </w:p>
          <w:p w14:paraId="5D05C5B3" w14:textId="77777777" w:rsidR="006A30CF" w:rsidRPr="007B2A8D" w:rsidRDefault="007676D8" w:rsidP="006A30CF">
            <w:pPr>
              <w:spacing w:line="360" w:lineRule="auto"/>
              <w:ind w:left="255"/>
              <w:jc w:val="center"/>
              <w:rPr>
                <w:rFonts w:eastAsia="MS Gothic"/>
                <w:b/>
                <w:color w:val="000000"/>
                <w:sz w:val="32"/>
                <w:szCs w:val="32"/>
              </w:rPr>
            </w:pPr>
            <w:r w:rsidRPr="007B2A8D">
              <w:rPr>
                <w:rFonts w:cstheme="minorHAnsi"/>
                <w:b/>
                <w:sz w:val="32"/>
                <w:szCs w:val="32"/>
                <w:lang w:eastAsia="cs-CZ"/>
              </w:rPr>
              <w:t>953</w:t>
            </w:r>
            <w:r w:rsidR="006A30CF" w:rsidRPr="007B2A8D">
              <w:rPr>
                <w:rFonts w:cstheme="minorHAnsi"/>
                <w:b/>
                <w:sz w:val="32"/>
                <w:szCs w:val="32"/>
                <w:lang w:eastAsia="cs-CZ"/>
              </w:rPr>
              <w:t>,</w:t>
            </w:r>
            <w:r w:rsidRPr="007B2A8D">
              <w:rPr>
                <w:rFonts w:cstheme="minorHAnsi"/>
                <w:b/>
                <w:sz w:val="32"/>
                <w:szCs w:val="32"/>
                <w:lang w:eastAsia="cs-CZ"/>
              </w:rPr>
              <w:t>4</w:t>
            </w:r>
            <w:r w:rsidR="006A30CF" w:rsidRPr="007B2A8D">
              <w:rPr>
                <w:rFonts w:cstheme="minorHAnsi"/>
                <w:b/>
                <w:sz w:val="32"/>
                <w:szCs w:val="32"/>
                <w:lang w:eastAsia="cs-CZ"/>
              </w:rPr>
              <w:t xml:space="preserve"> </w:t>
            </w:r>
            <w:r w:rsidR="006A30CF" w:rsidRPr="007B2A8D">
              <w:rPr>
                <w:rFonts w:eastAsia="MS Gothic"/>
                <w:b/>
                <w:bCs/>
                <w:color w:val="000000"/>
                <w:sz w:val="32"/>
                <w:szCs w:val="32"/>
              </w:rPr>
              <w:t>mld. Kč</w:t>
            </w:r>
          </w:p>
          <w:p w14:paraId="417E595E" w14:textId="7600D450" w:rsidR="00AB028C" w:rsidRPr="00FE168A" w:rsidRDefault="006A30CF" w:rsidP="00AB028C">
            <w:pPr>
              <w:tabs>
                <w:tab w:val="left" w:pos="1115"/>
              </w:tabs>
              <w:jc w:val="center"/>
              <w:rPr>
                <w:rFonts w:ascii="Calibri" w:hAnsi="Calibri" w:cs="Calibri"/>
                <w:caps/>
                <w:sz w:val="24"/>
                <w:szCs w:val="24"/>
              </w:rPr>
            </w:pPr>
            <w:r w:rsidRPr="00FE168A">
              <w:rPr>
                <w:rFonts w:ascii="Calibri" w:hAnsi="Calibri" w:cs="Calibri"/>
                <w:sz w:val="24"/>
                <w:szCs w:val="24"/>
                <w:lang w:eastAsia="cs-CZ"/>
              </w:rPr>
              <w:t>Inkaso daně z příjmů právnických osob v letech 2018 až 202</w:t>
            </w:r>
            <w:r w:rsidR="00097737" w:rsidRPr="00FE168A">
              <w:rPr>
                <w:rFonts w:ascii="Calibri" w:hAnsi="Calibri" w:cs="Calibri"/>
                <w:sz w:val="24"/>
                <w:szCs w:val="24"/>
                <w:lang w:eastAsia="cs-CZ"/>
              </w:rPr>
              <w:t>2</w:t>
            </w:r>
          </w:p>
        </w:tc>
        <w:tc>
          <w:tcPr>
            <w:tcW w:w="4531" w:type="dxa"/>
          </w:tcPr>
          <w:p w14:paraId="27372FDC" w14:textId="77777777" w:rsidR="006A30CF" w:rsidRPr="001B7E7F" w:rsidRDefault="006A30CF" w:rsidP="006A30CF">
            <w:pPr>
              <w:spacing w:line="360" w:lineRule="auto"/>
              <w:ind w:left="358"/>
              <w:jc w:val="center"/>
              <w:rPr>
                <w:rFonts w:cstheme="minorHAnsi"/>
                <w:b/>
                <w:lang w:eastAsia="cs-CZ"/>
              </w:rPr>
            </w:pPr>
          </w:p>
          <w:p w14:paraId="0B33D40E" w14:textId="77777777" w:rsidR="006A30CF" w:rsidRPr="007B2A8D" w:rsidRDefault="00097737" w:rsidP="006A30CF">
            <w:pPr>
              <w:spacing w:line="360" w:lineRule="auto"/>
              <w:ind w:left="358"/>
              <w:jc w:val="center"/>
              <w:rPr>
                <w:rFonts w:cstheme="minorHAnsi"/>
                <w:b/>
                <w:sz w:val="32"/>
                <w:szCs w:val="32"/>
              </w:rPr>
            </w:pPr>
            <w:r w:rsidRPr="007B2A8D">
              <w:rPr>
                <w:rFonts w:cstheme="minorHAnsi"/>
                <w:b/>
                <w:sz w:val="32"/>
                <w:szCs w:val="32"/>
                <w:lang w:eastAsia="cs-CZ"/>
              </w:rPr>
              <w:t>9</w:t>
            </w:r>
            <w:r w:rsidR="006A30CF" w:rsidRPr="007B2A8D">
              <w:rPr>
                <w:rFonts w:cstheme="minorHAnsi"/>
                <w:b/>
                <w:sz w:val="32"/>
                <w:szCs w:val="32"/>
                <w:lang w:eastAsia="cs-CZ"/>
              </w:rPr>
              <w:t>,0</w:t>
            </w:r>
            <w:r w:rsidR="006A30CF" w:rsidRPr="007B2A8D">
              <w:rPr>
                <w:rFonts w:cstheme="minorHAnsi"/>
                <w:b/>
                <w:bCs/>
                <w:sz w:val="32"/>
                <w:szCs w:val="32"/>
              </w:rPr>
              <w:t xml:space="preserve"> mld. Kč</w:t>
            </w:r>
          </w:p>
          <w:p w14:paraId="5E5ADB5A" w14:textId="4B9AF3E9" w:rsidR="006A30CF" w:rsidRPr="00FE168A" w:rsidRDefault="006A30CF" w:rsidP="006A30CF">
            <w:pPr>
              <w:tabs>
                <w:tab w:val="left" w:pos="1115"/>
              </w:tabs>
              <w:jc w:val="center"/>
              <w:rPr>
                <w:rFonts w:ascii="Calibri" w:hAnsi="Calibri" w:cs="Calibri"/>
                <w:sz w:val="24"/>
                <w:szCs w:val="24"/>
              </w:rPr>
            </w:pPr>
            <w:r w:rsidRPr="00FE168A">
              <w:rPr>
                <w:rFonts w:ascii="Calibri" w:hAnsi="Calibri" w:cs="Calibri"/>
                <w:sz w:val="24"/>
                <w:szCs w:val="24"/>
              </w:rPr>
              <w:t xml:space="preserve">Výdaje vynaložené </w:t>
            </w:r>
            <w:r w:rsidR="002E5590" w:rsidRPr="00FE168A">
              <w:rPr>
                <w:rFonts w:ascii="Calibri" w:hAnsi="Calibri" w:cs="Calibri"/>
                <w:sz w:val="24"/>
                <w:szCs w:val="24"/>
              </w:rPr>
              <w:t>n</w:t>
            </w:r>
            <w:r w:rsidRPr="00FE168A">
              <w:rPr>
                <w:rFonts w:ascii="Calibri" w:hAnsi="Calibri" w:cs="Calibri"/>
                <w:sz w:val="24"/>
                <w:szCs w:val="24"/>
              </w:rPr>
              <w:t xml:space="preserve">a zaměstnance Finanční správy </w:t>
            </w:r>
            <w:proofErr w:type="gramStart"/>
            <w:r w:rsidRPr="00FE168A">
              <w:rPr>
                <w:rFonts w:ascii="Calibri" w:hAnsi="Calibri" w:cs="Calibri"/>
                <w:sz w:val="24"/>
                <w:szCs w:val="24"/>
              </w:rPr>
              <w:t>ČR  spravující</w:t>
            </w:r>
            <w:proofErr w:type="gramEnd"/>
            <w:r w:rsidRPr="00FE168A">
              <w:rPr>
                <w:rFonts w:ascii="Calibri" w:hAnsi="Calibri" w:cs="Calibri"/>
                <w:sz w:val="24"/>
                <w:szCs w:val="24"/>
              </w:rPr>
              <w:t xml:space="preserve"> daň z příjmů právnických osob v letech 2018 až 202</w:t>
            </w:r>
            <w:r w:rsidR="00097737" w:rsidRPr="00FE168A">
              <w:rPr>
                <w:rFonts w:ascii="Calibri" w:hAnsi="Calibri" w:cs="Calibri"/>
                <w:sz w:val="24"/>
                <w:szCs w:val="24"/>
              </w:rPr>
              <w:t>2</w:t>
            </w:r>
          </w:p>
        </w:tc>
      </w:tr>
      <w:tr w:rsidR="006A30CF" w14:paraId="305B6CDD" w14:textId="77777777" w:rsidTr="00163F9B">
        <w:tc>
          <w:tcPr>
            <w:tcW w:w="4530" w:type="dxa"/>
          </w:tcPr>
          <w:p w14:paraId="6A282E31" w14:textId="77777777" w:rsidR="006A30CF" w:rsidRDefault="006A30CF" w:rsidP="00AB028C">
            <w:pPr>
              <w:spacing w:line="360" w:lineRule="auto"/>
              <w:ind w:left="113"/>
              <w:jc w:val="center"/>
              <w:rPr>
                <w:b/>
                <w:bCs/>
              </w:rPr>
            </w:pPr>
          </w:p>
          <w:p w14:paraId="46DBA965" w14:textId="77777777" w:rsidR="006A30CF" w:rsidRPr="007649D7" w:rsidRDefault="006A30CF" w:rsidP="00AB028C">
            <w:pPr>
              <w:spacing w:line="276" w:lineRule="auto"/>
              <w:ind w:left="113"/>
              <w:jc w:val="center"/>
              <w:rPr>
                <w:b/>
                <w:bCs/>
                <w:color w:val="000000" w:themeColor="text1"/>
                <w:sz w:val="32"/>
                <w:szCs w:val="32"/>
              </w:rPr>
            </w:pPr>
            <w:r w:rsidRPr="007649D7">
              <w:rPr>
                <w:b/>
                <w:bCs/>
                <w:color w:val="000000" w:themeColor="text1"/>
                <w:sz w:val="32"/>
                <w:szCs w:val="32"/>
              </w:rPr>
              <w:t>21,9 mil. Kč</w:t>
            </w:r>
          </w:p>
          <w:p w14:paraId="02A27C8E" w14:textId="17DC0C60" w:rsidR="006A30CF" w:rsidRPr="00FE168A" w:rsidRDefault="006A30CF" w:rsidP="006A30CF">
            <w:pPr>
              <w:tabs>
                <w:tab w:val="left" w:pos="1115"/>
              </w:tabs>
              <w:jc w:val="center"/>
              <w:rPr>
                <w:rFonts w:ascii="Calibri" w:hAnsi="Calibri" w:cs="Calibri"/>
                <w:sz w:val="24"/>
                <w:szCs w:val="24"/>
              </w:rPr>
            </w:pPr>
            <w:r w:rsidRPr="00FE168A">
              <w:rPr>
                <w:rFonts w:ascii="Calibri" w:hAnsi="Calibri" w:cs="Calibri"/>
                <w:sz w:val="24"/>
                <w:szCs w:val="24"/>
              </w:rPr>
              <w:t>Výdaje vynaložené v souvislosti s</w:t>
            </w:r>
            <w:r w:rsidR="00746AAC" w:rsidRPr="00FE168A">
              <w:rPr>
                <w:rFonts w:ascii="Calibri" w:hAnsi="Calibri" w:cs="Calibri"/>
                <w:sz w:val="24"/>
                <w:szCs w:val="24"/>
              </w:rPr>
              <w:t>e</w:t>
            </w:r>
            <w:r w:rsidRPr="00FE168A">
              <w:rPr>
                <w:rFonts w:ascii="Calibri" w:hAnsi="Calibri" w:cs="Calibri"/>
                <w:sz w:val="24"/>
                <w:szCs w:val="24"/>
              </w:rPr>
              <w:t xml:space="preserve"> směrnic</w:t>
            </w:r>
            <w:r w:rsidR="00156ADA" w:rsidRPr="00FE168A">
              <w:rPr>
                <w:rFonts w:ascii="Calibri" w:hAnsi="Calibri" w:cs="Calibri"/>
                <w:sz w:val="24"/>
                <w:szCs w:val="24"/>
              </w:rPr>
              <w:t>í</w:t>
            </w:r>
            <w:r w:rsidRPr="00FE168A">
              <w:rPr>
                <w:rFonts w:ascii="Calibri" w:hAnsi="Calibri" w:cs="Calibri"/>
                <w:sz w:val="24"/>
                <w:szCs w:val="24"/>
              </w:rPr>
              <w:t xml:space="preserve"> ATAD</w:t>
            </w:r>
            <w:r w:rsidRPr="00FE168A">
              <w:rPr>
                <w:rStyle w:val="Znakapoznpodarou"/>
                <w:rFonts w:ascii="Calibri" w:hAnsi="Calibri" w:cs="Calibri"/>
                <w:sz w:val="24"/>
                <w:szCs w:val="24"/>
              </w:rPr>
              <w:footnoteReference w:id="2"/>
            </w:r>
            <w:r w:rsidRPr="00FE168A">
              <w:rPr>
                <w:rFonts w:ascii="Calibri" w:hAnsi="Calibri" w:cs="Calibri"/>
                <w:sz w:val="24"/>
                <w:szCs w:val="24"/>
              </w:rPr>
              <w:t xml:space="preserve"> </w:t>
            </w:r>
            <w:r w:rsidRPr="00FE168A">
              <w:rPr>
                <w:rFonts w:ascii="Calibri" w:hAnsi="Calibri" w:cs="Calibri"/>
                <w:sz w:val="24"/>
                <w:szCs w:val="24"/>
              </w:rPr>
              <w:br/>
              <w:t>v letech 2017 až 2021</w:t>
            </w:r>
          </w:p>
          <w:p w14:paraId="2E90FE39" w14:textId="77777777" w:rsidR="00163F9B" w:rsidRPr="00FE168A" w:rsidRDefault="00163F9B" w:rsidP="006A30CF">
            <w:pPr>
              <w:tabs>
                <w:tab w:val="left" w:pos="1115"/>
              </w:tabs>
              <w:jc w:val="center"/>
              <w:rPr>
                <w:rFonts w:ascii="Calibri" w:hAnsi="Calibri" w:cs="Calibri"/>
                <w:caps/>
                <w:sz w:val="24"/>
                <w:szCs w:val="24"/>
              </w:rPr>
            </w:pPr>
          </w:p>
          <w:p w14:paraId="0B7591C0" w14:textId="77777777" w:rsidR="00163F9B" w:rsidRDefault="00163F9B" w:rsidP="006A30CF">
            <w:pPr>
              <w:tabs>
                <w:tab w:val="left" w:pos="1115"/>
              </w:tabs>
              <w:jc w:val="center"/>
              <w:rPr>
                <w:caps/>
              </w:rPr>
            </w:pPr>
          </w:p>
        </w:tc>
        <w:tc>
          <w:tcPr>
            <w:tcW w:w="4531" w:type="dxa"/>
          </w:tcPr>
          <w:p w14:paraId="38653058" w14:textId="77777777" w:rsidR="006A30CF" w:rsidRDefault="006A30CF" w:rsidP="006A30CF">
            <w:pPr>
              <w:spacing w:line="360" w:lineRule="auto"/>
              <w:jc w:val="center"/>
              <w:rPr>
                <w:rFonts w:cstheme="minorHAnsi"/>
                <w:b/>
                <w:lang w:eastAsia="cs-CZ"/>
              </w:rPr>
            </w:pPr>
          </w:p>
          <w:p w14:paraId="1CFC5F49" w14:textId="77777777" w:rsidR="006A30CF" w:rsidRPr="001B7E7F" w:rsidRDefault="006A30CF" w:rsidP="00E52E98">
            <w:pPr>
              <w:spacing w:line="276" w:lineRule="auto"/>
              <w:jc w:val="center"/>
              <w:rPr>
                <w:rFonts w:cstheme="minorHAnsi"/>
                <w:b/>
                <w:color w:val="000000" w:themeColor="text1"/>
                <w:sz w:val="32"/>
                <w:szCs w:val="32"/>
                <w:lang w:eastAsia="cs-CZ"/>
              </w:rPr>
            </w:pPr>
            <w:r w:rsidRPr="001B7E7F">
              <w:rPr>
                <w:rFonts w:cstheme="minorHAnsi"/>
                <w:b/>
                <w:color w:val="000000" w:themeColor="text1"/>
                <w:sz w:val="32"/>
                <w:szCs w:val="32"/>
                <w:lang w:eastAsia="cs-CZ"/>
              </w:rPr>
              <w:t>1</w:t>
            </w:r>
            <w:r w:rsidR="005979DD" w:rsidRPr="001B7E7F">
              <w:rPr>
                <w:rFonts w:cstheme="minorHAnsi"/>
                <w:b/>
                <w:color w:val="000000" w:themeColor="text1"/>
                <w:sz w:val="32"/>
                <w:szCs w:val="32"/>
                <w:lang w:eastAsia="cs-CZ"/>
              </w:rPr>
              <w:t>4</w:t>
            </w:r>
            <w:r w:rsidRPr="001B7E7F">
              <w:rPr>
                <w:rFonts w:cstheme="minorHAnsi"/>
                <w:b/>
                <w:color w:val="000000" w:themeColor="text1"/>
                <w:sz w:val="32"/>
                <w:szCs w:val="32"/>
                <w:lang w:eastAsia="cs-CZ"/>
              </w:rPr>
              <w:t>,</w:t>
            </w:r>
            <w:r w:rsidR="00603B82" w:rsidRPr="001B7E7F">
              <w:rPr>
                <w:rFonts w:cstheme="minorHAnsi"/>
                <w:b/>
                <w:color w:val="000000" w:themeColor="text1"/>
                <w:sz w:val="32"/>
                <w:szCs w:val="32"/>
                <w:lang w:eastAsia="cs-CZ"/>
              </w:rPr>
              <w:t>8</w:t>
            </w:r>
            <w:r w:rsidRPr="001B7E7F">
              <w:rPr>
                <w:rFonts w:cstheme="minorHAnsi"/>
                <w:b/>
                <w:color w:val="000000" w:themeColor="text1"/>
                <w:sz w:val="32"/>
                <w:szCs w:val="32"/>
                <w:lang w:eastAsia="cs-CZ"/>
              </w:rPr>
              <w:t xml:space="preserve"> mil. Kč</w:t>
            </w:r>
          </w:p>
          <w:p w14:paraId="6D10961B" w14:textId="364B4E12" w:rsidR="006A30CF" w:rsidRPr="00FE168A" w:rsidRDefault="006A30CF" w:rsidP="00FE168A">
            <w:pPr>
              <w:tabs>
                <w:tab w:val="left" w:pos="1115"/>
              </w:tabs>
              <w:jc w:val="center"/>
              <w:rPr>
                <w:rFonts w:ascii="Calibri" w:hAnsi="Calibri" w:cs="Calibri"/>
                <w:caps/>
                <w:sz w:val="24"/>
                <w:szCs w:val="24"/>
              </w:rPr>
            </w:pPr>
            <w:r w:rsidRPr="00FE168A">
              <w:rPr>
                <w:rFonts w:ascii="Calibri" w:hAnsi="Calibri" w:cs="Calibri"/>
                <w:sz w:val="24"/>
                <w:szCs w:val="24"/>
              </w:rPr>
              <w:t>Výdaje vynaložené v souvislosti se směrnicí DAC6</w:t>
            </w:r>
            <w:r w:rsidR="008C6496" w:rsidRPr="00FE168A">
              <w:rPr>
                <w:rStyle w:val="Znakapoznpodarou"/>
                <w:rFonts w:ascii="Calibri" w:eastAsia="Calibri" w:hAnsi="Calibri" w:cs="Calibri"/>
                <w:sz w:val="24"/>
                <w:szCs w:val="24"/>
              </w:rPr>
              <w:footnoteReference w:id="3"/>
            </w:r>
            <w:r w:rsidRPr="00FE168A">
              <w:rPr>
                <w:rFonts w:ascii="Calibri" w:hAnsi="Calibri" w:cs="Calibri"/>
                <w:sz w:val="24"/>
                <w:szCs w:val="24"/>
              </w:rPr>
              <w:t xml:space="preserve"> </w:t>
            </w:r>
            <w:r w:rsidR="00FE168A">
              <w:rPr>
                <w:rFonts w:ascii="Calibri" w:hAnsi="Calibri" w:cs="Calibri"/>
                <w:sz w:val="24"/>
                <w:szCs w:val="24"/>
              </w:rPr>
              <w:br/>
            </w:r>
            <w:r w:rsidRPr="00FE168A">
              <w:rPr>
                <w:rFonts w:ascii="Calibri" w:hAnsi="Calibri" w:cs="Calibri"/>
                <w:sz w:val="24"/>
                <w:szCs w:val="24"/>
              </w:rPr>
              <w:t>v letech 2019 až 202</w:t>
            </w:r>
            <w:r w:rsidR="00F91359" w:rsidRPr="00FE168A">
              <w:rPr>
                <w:rFonts w:ascii="Calibri" w:hAnsi="Calibri" w:cs="Calibri"/>
                <w:sz w:val="24"/>
                <w:szCs w:val="24"/>
              </w:rPr>
              <w:t>2</w:t>
            </w:r>
          </w:p>
        </w:tc>
      </w:tr>
    </w:tbl>
    <w:p w14:paraId="3E6C3938" w14:textId="77777777" w:rsidR="0043539E" w:rsidRPr="00AB028C" w:rsidRDefault="0043539E" w:rsidP="00AB028C">
      <w:pPr>
        <w:tabs>
          <w:tab w:val="left" w:pos="1115"/>
        </w:tabs>
        <w:jc w:val="both"/>
        <w:rPr>
          <w:rFonts w:ascii="Calibri" w:hAnsi="Calibri" w:cs="Calibri"/>
          <w:caps/>
          <w:sz w:val="24"/>
          <w:szCs w:val="24"/>
        </w:rPr>
      </w:pPr>
    </w:p>
    <w:p w14:paraId="58DBF880" w14:textId="77777777" w:rsidR="00687CFB" w:rsidRPr="00AB028C" w:rsidRDefault="00687CFB" w:rsidP="00AB028C">
      <w:pPr>
        <w:tabs>
          <w:tab w:val="left" w:pos="1115"/>
        </w:tabs>
        <w:jc w:val="both"/>
        <w:rPr>
          <w:rFonts w:ascii="Calibri" w:hAnsi="Calibri" w:cs="Calibri"/>
          <w:caps/>
          <w:sz w:val="24"/>
          <w:szCs w:val="24"/>
        </w:rPr>
      </w:pPr>
    </w:p>
    <w:p w14:paraId="09D93A91" w14:textId="12A709EF" w:rsidR="00687CFB" w:rsidRPr="00AB028C" w:rsidRDefault="009C01D4" w:rsidP="00AB028C">
      <w:pPr>
        <w:jc w:val="both"/>
        <w:rPr>
          <w:rFonts w:ascii="Calibri" w:hAnsi="Calibri" w:cs="Calibri"/>
          <w:b/>
          <w:bCs/>
          <w:sz w:val="24"/>
          <w:szCs w:val="24"/>
        </w:rPr>
      </w:pPr>
      <w:r w:rsidRPr="00AB028C">
        <w:rPr>
          <w:rFonts w:ascii="Calibri" w:hAnsi="Calibri" w:cs="Calibri"/>
          <w:b/>
          <w:bCs/>
          <w:sz w:val="24"/>
          <w:szCs w:val="24"/>
        </w:rPr>
        <w:t>Implementace</w:t>
      </w:r>
      <w:r w:rsidR="00262F94" w:rsidRPr="00AB028C">
        <w:rPr>
          <w:rFonts w:ascii="Calibri" w:hAnsi="Calibri" w:cs="Calibri"/>
          <w:b/>
          <w:bCs/>
          <w:sz w:val="24"/>
          <w:szCs w:val="24"/>
        </w:rPr>
        <w:t xml:space="preserve"> směrnic ATAD </w:t>
      </w:r>
      <w:r w:rsidR="0095566E" w:rsidRPr="00AB028C">
        <w:rPr>
          <w:rFonts w:ascii="Calibri" w:hAnsi="Calibri" w:cs="Calibri"/>
          <w:b/>
          <w:bCs/>
          <w:sz w:val="24"/>
          <w:szCs w:val="24"/>
        </w:rPr>
        <w:t xml:space="preserve">a DAC6 </w:t>
      </w:r>
      <w:r w:rsidRPr="00AB028C">
        <w:rPr>
          <w:rFonts w:ascii="Calibri" w:hAnsi="Calibri" w:cs="Calibri"/>
          <w:b/>
          <w:bCs/>
          <w:sz w:val="24"/>
          <w:szCs w:val="24"/>
        </w:rPr>
        <w:t xml:space="preserve">zavedla </w:t>
      </w:r>
      <w:r w:rsidR="00EF348D" w:rsidRPr="00AB028C">
        <w:rPr>
          <w:rFonts w:ascii="Calibri" w:hAnsi="Calibri" w:cs="Calibri"/>
          <w:b/>
          <w:bCs/>
          <w:sz w:val="24"/>
          <w:szCs w:val="24"/>
        </w:rPr>
        <w:t>opatření</w:t>
      </w:r>
      <w:r w:rsidR="003B08AC" w:rsidRPr="00AB028C">
        <w:rPr>
          <w:rFonts w:ascii="Calibri" w:hAnsi="Calibri" w:cs="Calibri"/>
          <w:b/>
          <w:bCs/>
          <w:sz w:val="24"/>
          <w:szCs w:val="24"/>
        </w:rPr>
        <w:t xml:space="preserve">, jejichž cílem bylo </w:t>
      </w:r>
      <w:r w:rsidR="00ED2A81" w:rsidRPr="00AB028C">
        <w:rPr>
          <w:rFonts w:ascii="Calibri" w:hAnsi="Calibri" w:cs="Calibri"/>
          <w:b/>
          <w:bCs/>
          <w:sz w:val="24"/>
          <w:szCs w:val="24"/>
        </w:rPr>
        <w:t>odradit</w:t>
      </w:r>
      <w:r w:rsidRPr="00AB028C">
        <w:rPr>
          <w:rFonts w:ascii="Calibri" w:hAnsi="Calibri" w:cs="Calibri"/>
          <w:b/>
          <w:bCs/>
          <w:sz w:val="24"/>
          <w:szCs w:val="24"/>
        </w:rPr>
        <w:t xml:space="preserve"> poplatníky daně z příjmů právnických</w:t>
      </w:r>
      <w:r w:rsidR="00687CFB" w:rsidRPr="00AB028C">
        <w:rPr>
          <w:rFonts w:ascii="Calibri" w:hAnsi="Calibri" w:cs="Calibri"/>
          <w:b/>
          <w:bCs/>
          <w:sz w:val="24"/>
          <w:szCs w:val="24"/>
        </w:rPr>
        <w:t xml:space="preserve"> </w:t>
      </w:r>
      <w:r w:rsidRPr="00AB028C">
        <w:rPr>
          <w:rFonts w:ascii="Calibri" w:hAnsi="Calibri" w:cs="Calibri"/>
          <w:b/>
          <w:bCs/>
          <w:sz w:val="24"/>
          <w:szCs w:val="24"/>
        </w:rPr>
        <w:t>osob od vyhýbání se</w:t>
      </w:r>
      <w:r w:rsidR="00E52E98" w:rsidRPr="00AB028C">
        <w:rPr>
          <w:rFonts w:ascii="Calibri" w:hAnsi="Calibri" w:cs="Calibri"/>
          <w:b/>
          <w:bCs/>
          <w:sz w:val="24"/>
          <w:szCs w:val="24"/>
        </w:rPr>
        <w:t xml:space="preserve"> </w:t>
      </w:r>
      <w:r w:rsidRPr="00AB028C">
        <w:rPr>
          <w:rFonts w:ascii="Calibri" w:hAnsi="Calibri" w:cs="Calibri"/>
          <w:b/>
          <w:bCs/>
          <w:sz w:val="24"/>
          <w:szCs w:val="24"/>
        </w:rPr>
        <w:t>daňovým povinnostem.</w:t>
      </w:r>
    </w:p>
    <w:p w14:paraId="6DA88E03" w14:textId="77777777" w:rsidR="0095566E" w:rsidRPr="00AB028C" w:rsidRDefault="0095566E" w:rsidP="00AB028C">
      <w:pPr>
        <w:pStyle w:val="Odstavecseseznamem"/>
        <w:ind w:left="0"/>
        <w:jc w:val="both"/>
        <w:rPr>
          <w:rFonts w:ascii="Calibri" w:hAnsi="Calibri" w:cs="Calibri"/>
          <w:b/>
          <w:bCs/>
          <w:sz w:val="24"/>
          <w:szCs w:val="24"/>
        </w:rPr>
      </w:pPr>
    </w:p>
    <w:p w14:paraId="765CF1E9" w14:textId="56623D6E" w:rsidR="007D4D51" w:rsidRPr="00AB028C" w:rsidRDefault="007D4D51" w:rsidP="00AB028C">
      <w:pPr>
        <w:tabs>
          <w:tab w:val="left" w:pos="1115"/>
        </w:tabs>
        <w:jc w:val="both"/>
        <w:rPr>
          <w:rFonts w:ascii="Calibri" w:hAnsi="Calibri" w:cs="Calibri"/>
          <w:b/>
          <w:bCs/>
          <w:sz w:val="24"/>
          <w:szCs w:val="24"/>
        </w:rPr>
      </w:pPr>
      <w:r w:rsidRPr="00AB028C">
        <w:rPr>
          <w:rFonts w:ascii="Calibri" w:hAnsi="Calibri" w:cs="Calibri"/>
          <w:b/>
          <w:bCs/>
          <w:sz w:val="24"/>
          <w:szCs w:val="24"/>
        </w:rPr>
        <w:t xml:space="preserve">Preventivní nebo odrazující </w:t>
      </w:r>
      <w:r w:rsidR="0095566E" w:rsidRPr="00AB028C">
        <w:rPr>
          <w:rFonts w:ascii="Calibri" w:hAnsi="Calibri" w:cs="Calibri"/>
          <w:b/>
          <w:bCs/>
          <w:sz w:val="24"/>
          <w:szCs w:val="24"/>
        </w:rPr>
        <w:t xml:space="preserve">dopad </w:t>
      </w:r>
      <w:r w:rsidRPr="00AB028C">
        <w:rPr>
          <w:rFonts w:ascii="Calibri" w:hAnsi="Calibri" w:cs="Calibri"/>
          <w:b/>
          <w:bCs/>
          <w:sz w:val="24"/>
          <w:szCs w:val="24"/>
        </w:rPr>
        <w:t xml:space="preserve">zavedených </w:t>
      </w:r>
      <w:r w:rsidR="00EF348D" w:rsidRPr="00AB028C">
        <w:rPr>
          <w:rFonts w:ascii="Calibri" w:hAnsi="Calibri" w:cs="Calibri"/>
          <w:b/>
          <w:bCs/>
          <w:sz w:val="24"/>
          <w:szCs w:val="24"/>
        </w:rPr>
        <w:t xml:space="preserve">opatření </w:t>
      </w:r>
      <w:r w:rsidR="0095566E" w:rsidRPr="00AB028C">
        <w:rPr>
          <w:rFonts w:ascii="Calibri" w:hAnsi="Calibri" w:cs="Calibri"/>
          <w:b/>
          <w:bCs/>
          <w:sz w:val="24"/>
          <w:szCs w:val="24"/>
        </w:rPr>
        <w:t xml:space="preserve">na daňové příjmy </w:t>
      </w:r>
      <w:r w:rsidRPr="00AB028C">
        <w:rPr>
          <w:rFonts w:ascii="Calibri" w:hAnsi="Calibri" w:cs="Calibri"/>
          <w:b/>
          <w:bCs/>
          <w:sz w:val="24"/>
          <w:szCs w:val="24"/>
        </w:rPr>
        <w:t>nelze kvantifikovat.</w:t>
      </w:r>
    </w:p>
    <w:p w14:paraId="66B97C57" w14:textId="77777777" w:rsidR="00687CFB" w:rsidRPr="00AB028C" w:rsidRDefault="00687CFB" w:rsidP="00AB028C">
      <w:pPr>
        <w:tabs>
          <w:tab w:val="left" w:pos="1115"/>
        </w:tabs>
        <w:jc w:val="both"/>
        <w:rPr>
          <w:rFonts w:ascii="Calibri" w:hAnsi="Calibri" w:cs="Calibri"/>
          <w:b/>
          <w:bCs/>
          <w:sz w:val="24"/>
          <w:szCs w:val="24"/>
        </w:rPr>
      </w:pPr>
    </w:p>
    <w:p w14:paraId="6572510B" w14:textId="77777777" w:rsidR="007D4D51" w:rsidRPr="00AB028C" w:rsidRDefault="007D4D51" w:rsidP="00AB028C">
      <w:pPr>
        <w:tabs>
          <w:tab w:val="left" w:pos="1115"/>
        </w:tabs>
        <w:jc w:val="both"/>
        <w:rPr>
          <w:rFonts w:ascii="Calibri" w:hAnsi="Calibri" w:cs="Calibri"/>
          <w:b/>
          <w:bCs/>
          <w:sz w:val="24"/>
          <w:szCs w:val="24"/>
        </w:rPr>
      </w:pPr>
    </w:p>
    <w:p w14:paraId="6C0EF5A7" w14:textId="77777777" w:rsidR="00785D55" w:rsidRDefault="00785D55">
      <w:pPr>
        <w:rPr>
          <w:rFonts w:cstheme="minorHAnsi"/>
          <w:b/>
          <w:sz w:val="24"/>
          <w:szCs w:val="24"/>
          <w:lang w:eastAsia="cs-CZ"/>
        </w:rPr>
      </w:pPr>
      <w:r>
        <w:rPr>
          <w:rFonts w:cstheme="minorHAnsi"/>
          <w:b/>
          <w:sz w:val="24"/>
          <w:szCs w:val="24"/>
          <w:lang w:eastAsia="cs-CZ"/>
        </w:rPr>
        <w:br w:type="page"/>
      </w:r>
    </w:p>
    <w:p w14:paraId="14F2E794" w14:textId="77777777" w:rsidR="00CF6FED" w:rsidRPr="00D7236D" w:rsidRDefault="0093232C" w:rsidP="003E7FAE">
      <w:pPr>
        <w:pStyle w:val="Nadpis1"/>
        <w:numPr>
          <w:ilvl w:val="0"/>
          <w:numId w:val="0"/>
        </w:numPr>
        <w:spacing w:before="0" w:after="240" w:line="259" w:lineRule="auto"/>
        <w:rPr>
          <w:sz w:val="28"/>
          <w:szCs w:val="28"/>
        </w:rPr>
      </w:pPr>
      <w:r w:rsidRPr="00D7236D">
        <w:rPr>
          <w:sz w:val="28"/>
          <w:szCs w:val="28"/>
        </w:rPr>
        <w:lastRenderedPageBreak/>
        <w:t>I. Shrnutí a vyhodnocení</w:t>
      </w:r>
    </w:p>
    <w:p w14:paraId="45AADF6C" w14:textId="70F857E8" w:rsidR="002963DD" w:rsidRDefault="00145E30">
      <w:pPr>
        <w:spacing w:before="120" w:after="120"/>
        <w:jc w:val="both"/>
        <w:rPr>
          <w:rFonts w:ascii="Calibri" w:eastAsia="Calibri" w:hAnsi="Calibri" w:cs="Calibri"/>
          <w:sz w:val="24"/>
          <w:szCs w:val="24"/>
        </w:rPr>
      </w:pPr>
      <w:r>
        <w:rPr>
          <w:rFonts w:ascii="Calibri" w:eastAsia="Calibri" w:hAnsi="Calibri" w:cs="Calibri"/>
          <w:sz w:val="24"/>
          <w:szCs w:val="24"/>
        </w:rPr>
        <w:t>Příjmy z</w:t>
      </w:r>
      <w:r w:rsidR="00132360">
        <w:rPr>
          <w:rFonts w:ascii="Calibri" w:eastAsia="Calibri" w:hAnsi="Calibri" w:cs="Calibri"/>
          <w:sz w:val="24"/>
          <w:szCs w:val="24"/>
        </w:rPr>
        <w:t> daně z příjmů právnických osob</w:t>
      </w:r>
      <w:r w:rsidR="00CE1018">
        <w:rPr>
          <w:rFonts w:ascii="Calibri" w:eastAsia="Calibri" w:hAnsi="Calibri" w:cs="Calibri"/>
          <w:sz w:val="24"/>
          <w:szCs w:val="24"/>
        </w:rPr>
        <w:t xml:space="preserve"> (dále také </w:t>
      </w:r>
      <w:r w:rsidR="00CE1018" w:rsidRPr="00814652">
        <w:rPr>
          <w:rFonts w:ascii="Calibri" w:eastAsia="Calibri" w:hAnsi="Calibri" w:cs="Calibri"/>
          <w:sz w:val="24"/>
          <w:szCs w:val="24"/>
        </w:rPr>
        <w:t>„DPPO“</w:t>
      </w:r>
      <w:r w:rsidR="00CE1018">
        <w:rPr>
          <w:rFonts w:ascii="Calibri" w:eastAsia="Calibri" w:hAnsi="Calibri" w:cs="Calibri"/>
          <w:sz w:val="24"/>
          <w:szCs w:val="24"/>
        </w:rPr>
        <w:t>)</w:t>
      </w:r>
      <w:r w:rsidR="00132360">
        <w:rPr>
          <w:rFonts w:ascii="Calibri" w:eastAsia="Calibri" w:hAnsi="Calibri" w:cs="Calibri"/>
          <w:sz w:val="24"/>
          <w:szCs w:val="24"/>
        </w:rPr>
        <w:t xml:space="preserve"> </w:t>
      </w:r>
      <w:r>
        <w:rPr>
          <w:rFonts w:ascii="Calibri" w:eastAsia="Calibri" w:hAnsi="Calibri" w:cs="Calibri"/>
          <w:sz w:val="24"/>
          <w:szCs w:val="24"/>
        </w:rPr>
        <w:t xml:space="preserve">jsou </w:t>
      </w:r>
      <w:r w:rsidR="00337788">
        <w:rPr>
          <w:rFonts w:ascii="Calibri" w:eastAsia="Calibri" w:hAnsi="Calibri" w:cs="Calibri"/>
          <w:sz w:val="24"/>
          <w:szCs w:val="24"/>
        </w:rPr>
        <w:t xml:space="preserve">čtvrtým </w:t>
      </w:r>
      <w:r>
        <w:rPr>
          <w:rFonts w:ascii="Calibri" w:eastAsia="Calibri" w:hAnsi="Calibri" w:cs="Calibri"/>
          <w:sz w:val="24"/>
          <w:szCs w:val="24"/>
        </w:rPr>
        <w:t>nejvýznamnějším příjmem státního rozpočtu</w:t>
      </w:r>
      <w:r w:rsidR="00E30974">
        <w:rPr>
          <w:rFonts w:ascii="Calibri" w:eastAsia="Calibri" w:hAnsi="Calibri" w:cs="Calibri"/>
          <w:sz w:val="24"/>
          <w:szCs w:val="24"/>
        </w:rPr>
        <w:t>.</w:t>
      </w:r>
      <w:r w:rsidR="00A666BB">
        <w:rPr>
          <w:rFonts w:ascii="Calibri" w:eastAsia="Calibri" w:hAnsi="Calibri" w:cs="Calibri"/>
          <w:sz w:val="24"/>
          <w:szCs w:val="24"/>
        </w:rPr>
        <w:t xml:space="preserve"> V souvislosti se směrnic</w:t>
      </w:r>
      <w:r w:rsidR="004862AC">
        <w:rPr>
          <w:rFonts w:ascii="Calibri" w:eastAsia="Calibri" w:hAnsi="Calibri" w:cs="Calibri"/>
          <w:sz w:val="24"/>
          <w:szCs w:val="24"/>
        </w:rPr>
        <w:t>í</w:t>
      </w:r>
      <w:r w:rsidR="00A666BB">
        <w:rPr>
          <w:rFonts w:ascii="Calibri" w:eastAsia="Calibri" w:hAnsi="Calibri" w:cs="Calibri"/>
          <w:sz w:val="24"/>
          <w:szCs w:val="24"/>
        </w:rPr>
        <w:t xml:space="preserve"> ATAD bylo do národní právní úpravy </w:t>
      </w:r>
      <w:r w:rsidR="002963DD">
        <w:rPr>
          <w:rFonts w:ascii="Calibri" w:eastAsia="Calibri" w:hAnsi="Calibri" w:cs="Calibri"/>
          <w:sz w:val="24"/>
          <w:szCs w:val="24"/>
        </w:rPr>
        <w:t xml:space="preserve">DPPO </w:t>
      </w:r>
      <w:r w:rsidR="00AD58BD">
        <w:rPr>
          <w:rFonts w:ascii="Calibri" w:eastAsia="Calibri" w:hAnsi="Calibri" w:cs="Calibri"/>
          <w:sz w:val="24"/>
          <w:szCs w:val="24"/>
        </w:rPr>
        <w:t xml:space="preserve">od dubna 2019 </w:t>
      </w:r>
      <w:r w:rsidR="00A666BB">
        <w:rPr>
          <w:rFonts w:ascii="Calibri" w:eastAsia="Calibri" w:hAnsi="Calibri" w:cs="Calibri"/>
          <w:sz w:val="24"/>
          <w:szCs w:val="24"/>
        </w:rPr>
        <w:t xml:space="preserve">zavedeno pět opatření </w:t>
      </w:r>
      <w:r w:rsidR="002963DD">
        <w:rPr>
          <w:rFonts w:ascii="Calibri" w:eastAsia="Calibri" w:hAnsi="Calibri" w:cs="Calibri"/>
          <w:sz w:val="24"/>
          <w:szCs w:val="24"/>
        </w:rPr>
        <w:t>k zamezení daňovým únikům</w:t>
      </w:r>
      <w:r w:rsidR="00BC62E3">
        <w:rPr>
          <w:rFonts w:ascii="Calibri" w:eastAsia="Calibri" w:hAnsi="Calibri" w:cs="Calibri"/>
          <w:sz w:val="24"/>
          <w:szCs w:val="24"/>
        </w:rPr>
        <w:t>.</w:t>
      </w:r>
      <w:r w:rsidR="00F76D19">
        <w:rPr>
          <w:rFonts w:ascii="Calibri" w:eastAsia="Calibri" w:hAnsi="Calibri" w:cs="Calibri"/>
          <w:sz w:val="24"/>
          <w:szCs w:val="24"/>
        </w:rPr>
        <w:t xml:space="preserve"> </w:t>
      </w:r>
      <w:r w:rsidR="000540D2">
        <w:rPr>
          <w:rFonts w:ascii="Calibri" w:eastAsia="Calibri" w:hAnsi="Calibri" w:cs="Calibri"/>
          <w:sz w:val="24"/>
          <w:szCs w:val="24"/>
        </w:rPr>
        <w:t xml:space="preserve">V </w:t>
      </w:r>
      <w:r w:rsidR="00F76D19">
        <w:rPr>
          <w:rFonts w:ascii="Calibri" w:eastAsia="Calibri" w:hAnsi="Calibri" w:cs="Calibri"/>
          <w:sz w:val="24"/>
          <w:szCs w:val="24"/>
        </w:rPr>
        <w:t>souvislosti se směrnicí DAC6</w:t>
      </w:r>
      <w:r w:rsidR="002963DD">
        <w:rPr>
          <w:rFonts w:ascii="Calibri" w:eastAsia="Calibri" w:hAnsi="Calibri" w:cs="Calibri"/>
          <w:sz w:val="24"/>
          <w:szCs w:val="24"/>
        </w:rPr>
        <w:t xml:space="preserve"> byla</w:t>
      </w:r>
      <w:r w:rsidR="00877C4C">
        <w:rPr>
          <w:rFonts w:ascii="Calibri" w:eastAsia="Calibri" w:hAnsi="Calibri" w:cs="Calibri"/>
          <w:sz w:val="24"/>
          <w:szCs w:val="24"/>
        </w:rPr>
        <w:t xml:space="preserve"> od srpna 2020</w:t>
      </w:r>
      <w:r w:rsidR="002963DD">
        <w:rPr>
          <w:rFonts w:ascii="Calibri" w:eastAsia="Calibri" w:hAnsi="Calibri" w:cs="Calibri"/>
          <w:sz w:val="24"/>
          <w:szCs w:val="24"/>
        </w:rPr>
        <w:t xml:space="preserve"> zavedena automatická výměna informací o </w:t>
      </w:r>
      <w:r w:rsidR="000C751C">
        <w:rPr>
          <w:rFonts w:ascii="Calibri" w:eastAsia="Calibri" w:hAnsi="Calibri" w:cs="Calibri"/>
          <w:sz w:val="24"/>
          <w:szCs w:val="24"/>
        </w:rPr>
        <w:t xml:space="preserve">oznamovaných </w:t>
      </w:r>
      <w:r w:rsidR="002963DD">
        <w:rPr>
          <w:rFonts w:ascii="Calibri" w:eastAsia="Calibri" w:hAnsi="Calibri" w:cs="Calibri"/>
          <w:sz w:val="24"/>
          <w:szCs w:val="24"/>
        </w:rPr>
        <w:t>přeshraniční</w:t>
      </w:r>
      <w:r w:rsidR="000C751C">
        <w:rPr>
          <w:rFonts w:ascii="Calibri" w:eastAsia="Calibri" w:hAnsi="Calibri" w:cs="Calibri"/>
          <w:sz w:val="24"/>
          <w:szCs w:val="24"/>
        </w:rPr>
        <w:t>ch</w:t>
      </w:r>
      <w:r w:rsidR="002963DD">
        <w:rPr>
          <w:rFonts w:ascii="Calibri" w:eastAsia="Calibri" w:hAnsi="Calibri" w:cs="Calibri"/>
          <w:sz w:val="24"/>
          <w:szCs w:val="24"/>
        </w:rPr>
        <w:t xml:space="preserve"> uspořádání</w:t>
      </w:r>
      <w:r w:rsidR="00AD0F46">
        <w:rPr>
          <w:rFonts w:ascii="Calibri" w:eastAsia="Calibri" w:hAnsi="Calibri" w:cs="Calibri"/>
          <w:sz w:val="24"/>
          <w:szCs w:val="24"/>
        </w:rPr>
        <w:t>ch</w:t>
      </w:r>
      <w:r w:rsidR="002963DD">
        <w:rPr>
          <w:rFonts w:ascii="Calibri" w:eastAsia="Calibri" w:hAnsi="Calibri" w:cs="Calibri"/>
          <w:sz w:val="24"/>
          <w:szCs w:val="24"/>
        </w:rPr>
        <w:t>.</w:t>
      </w:r>
      <w:r w:rsidR="000540D2">
        <w:rPr>
          <w:rFonts w:ascii="Calibri" w:eastAsia="Calibri" w:hAnsi="Calibri" w:cs="Calibri"/>
          <w:sz w:val="24"/>
          <w:szCs w:val="24"/>
        </w:rPr>
        <w:t xml:space="preserve"> </w:t>
      </w:r>
      <w:r w:rsidR="003A24F0">
        <w:rPr>
          <w:rFonts w:ascii="Calibri" w:eastAsia="Calibri" w:hAnsi="Calibri" w:cs="Calibri"/>
          <w:sz w:val="24"/>
          <w:szCs w:val="24"/>
        </w:rPr>
        <w:t>V</w:t>
      </w:r>
      <w:r w:rsidR="000540D2">
        <w:rPr>
          <w:rFonts w:ascii="Calibri" w:eastAsia="Calibri" w:hAnsi="Calibri" w:cs="Calibri"/>
          <w:sz w:val="24"/>
          <w:szCs w:val="24"/>
        </w:rPr>
        <w:t>ýměn</w:t>
      </w:r>
      <w:r w:rsidR="003A24F0">
        <w:rPr>
          <w:rFonts w:ascii="Calibri" w:eastAsia="Calibri" w:hAnsi="Calibri" w:cs="Calibri"/>
          <w:sz w:val="24"/>
          <w:szCs w:val="24"/>
        </w:rPr>
        <w:t>a</w:t>
      </w:r>
      <w:r w:rsidR="000540D2">
        <w:rPr>
          <w:rFonts w:ascii="Calibri" w:eastAsia="Calibri" w:hAnsi="Calibri" w:cs="Calibri"/>
          <w:sz w:val="24"/>
          <w:szCs w:val="24"/>
        </w:rPr>
        <w:t xml:space="preserve"> informací </w:t>
      </w:r>
      <w:r w:rsidR="003A24F0">
        <w:rPr>
          <w:rFonts w:ascii="Calibri" w:eastAsia="Calibri" w:hAnsi="Calibri" w:cs="Calibri"/>
          <w:sz w:val="24"/>
          <w:szCs w:val="24"/>
        </w:rPr>
        <w:t>měla přispět k</w:t>
      </w:r>
      <w:r w:rsidR="000540D2">
        <w:rPr>
          <w:rFonts w:ascii="Calibri" w:eastAsia="Calibri" w:hAnsi="Calibri" w:cs="Calibri"/>
          <w:sz w:val="24"/>
          <w:szCs w:val="24"/>
        </w:rPr>
        <w:t xml:space="preserve"> identifikac</w:t>
      </w:r>
      <w:r w:rsidR="003A24F0">
        <w:rPr>
          <w:rFonts w:ascii="Calibri" w:eastAsia="Calibri" w:hAnsi="Calibri" w:cs="Calibri"/>
          <w:sz w:val="24"/>
          <w:szCs w:val="24"/>
        </w:rPr>
        <w:t>i</w:t>
      </w:r>
      <w:r w:rsidR="000540D2">
        <w:rPr>
          <w:rFonts w:ascii="Calibri" w:eastAsia="Calibri" w:hAnsi="Calibri" w:cs="Calibri"/>
          <w:sz w:val="24"/>
          <w:szCs w:val="24"/>
        </w:rPr>
        <w:t xml:space="preserve"> nových optimalizačních schémat daňového plánování</w:t>
      </w:r>
      <w:r w:rsidR="00A971E1">
        <w:rPr>
          <w:rFonts w:ascii="Calibri" w:eastAsia="Calibri" w:hAnsi="Calibri" w:cs="Calibri"/>
          <w:sz w:val="24"/>
          <w:szCs w:val="24"/>
        </w:rPr>
        <w:t xml:space="preserve"> a </w:t>
      </w:r>
      <w:r w:rsidR="0052367D">
        <w:rPr>
          <w:rFonts w:ascii="Calibri" w:eastAsia="Calibri" w:hAnsi="Calibri" w:cs="Calibri"/>
          <w:sz w:val="24"/>
          <w:szCs w:val="24"/>
        </w:rPr>
        <w:t>přijetí včasných a informovaných rozhodnutí F</w:t>
      </w:r>
      <w:r w:rsidR="00B838EC">
        <w:rPr>
          <w:rFonts w:ascii="Calibri" w:eastAsia="Calibri" w:hAnsi="Calibri" w:cs="Calibri"/>
          <w:sz w:val="24"/>
          <w:szCs w:val="24"/>
        </w:rPr>
        <w:t>inanční správou</w:t>
      </w:r>
      <w:r w:rsidR="0052367D">
        <w:rPr>
          <w:rFonts w:ascii="Calibri" w:eastAsia="Calibri" w:hAnsi="Calibri" w:cs="Calibri"/>
          <w:sz w:val="24"/>
          <w:szCs w:val="24"/>
        </w:rPr>
        <w:t xml:space="preserve"> ČR </w:t>
      </w:r>
      <w:r w:rsidR="00B838EC">
        <w:rPr>
          <w:rFonts w:cstheme="minorHAnsi"/>
          <w:sz w:val="24"/>
          <w:szCs w:val="24"/>
        </w:rPr>
        <w:t xml:space="preserve">(dále také </w:t>
      </w:r>
      <w:r w:rsidR="00B838EC" w:rsidRPr="00A40570">
        <w:rPr>
          <w:rFonts w:cstheme="minorHAnsi"/>
          <w:sz w:val="24"/>
          <w:szCs w:val="24"/>
        </w:rPr>
        <w:t>„</w:t>
      </w:r>
      <w:r w:rsidR="00B838EC" w:rsidRPr="00814652">
        <w:rPr>
          <w:rFonts w:cstheme="minorHAnsi"/>
          <w:sz w:val="24"/>
          <w:szCs w:val="24"/>
        </w:rPr>
        <w:t>FS ČR</w:t>
      </w:r>
      <w:r w:rsidR="00B838EC" w:rsidRPr="00A40570">
        <w:rPr>
          <w:rFonts w:cstheme="minorHAnsi"/>
          <w:sz w:val="24"/>
          <w:szCs w:val="24"/>
        </w:rPr>
        <w:t>“</w:t>
      </w:r>
      <w:r w:rsidR="00B838EC">
        <w:rPr>
          <w:rFonts w:cstheme="minorHAnsi"/>
          <w:sz w:val="24"/>
          <w:szCs w:val="24"/>
        </w:rPr>
        <w:t xml:space="preserve">) </w:t>
      </w:r>
      <w:r w:rsidR="0052367D">
        <w:rPr>
          <w:rFonts w:ascii="Calibri" w:eastAsia="Calibri" w:hAnsi="Calibri" w:cs="Calibri"/>
          <w:sz w:val="24"/>
          <w:szCs w:val="24"/>
        </w:rPr>
        <w:t>k ochraně daňových příjmů</w:t>
      </w:r>
      <w:r w:rsidR="000F5068">
        <w:rPr>
          <w:rFonts w:ascii="Calibri" w:eastAsia="Calibri" w:hAnsi="Calibri" w:cs="Calibri"/>
          <w:sz w:val="24"/>
          <w:szCs w:val="24"/>
        </w:rPr>
        <w:t>, např. identifikac</w:t>
      </w:r>
      <w:r w:rsidR="00B838EC">
        <w:rPr>
          <w:rFonts w:ascii="Calibri" w:eastAsia="Calibri" w:hAnsi="Calibri" w:cs="Calibri"/>
          <w:sz w:val="24"/>
          <w:szCs w:val="24"/>
        </w:rPr>
        <w:t>í</w:t>
      </w:r>
      <w:r w:rsidR="000F5068">
        <w:rPr>
          <w:rFonts w:ascii="Calibri" w:eastAsia="Calibri" w:hAnsi="Calibri" w:cs="Calibri"/>
          <w:sz w:val="24"/>
          <w:szCs w:val="24"/>
        </w:rPr>
        <w:t xml:space="preserve"> mezer</w:t>
      </w:r>
      <w:r w:rsidR="00B838EC">
        <w:rPr>
          <w:rFonts w:ascii="Calibri" w:eastAsia="Calibri" w:hAnsi="Calibri" w:cs="Calibri"/>
          <w:sz w:val="24"/>
          <w:szCs w:val="24"/>
        </w:rPr>
        <w:t>y</w:t>
      </w:r>
      <w:r w:rsidR="000F5068">
        <w:rPr>
          <w:rFonts w:ascii="Calibri" w:eastAsia="Calibri" w:hAnsi="Calibri" w:cs="Calibri"/>
          <w:sz w:val="24"/>
          <w:szCs w:val="24"/>
        </w:rPr>
        <w:t xml:space="preserve"> v právních předpisech a lepší</w:t>
      </w:r>
      <w:r w:rsidR="00B838EC">
        <w:rPr>
          <w:rFonts w:ascii="Calibri" w:eastAsia="Calibri" w:hAnsi="Calibri" w:cs="Calibri"/>
          <w:sz w:val="24"/>
          <w:szCs w:val="24"/>
        </w:rPr>
        <w:t>m</w:t>
      </w:r>
      <w:r w:rsidR="000F5068">
        <w:rPr>
          <w:rFonts w:ascii="Calibri" w:eastAsia="Calibri" w:hAnsi="Calibri" w:cs="Calibri"/>
          <w:sz w:val="24"/>
          <w:szCs w:val="24"/>
        </w:rPr>
        <w:t xml:space="preserve"> zacílení</w:t>
      </w:r>
      <w:r w:rsidR="00B838EC">
        <w:rPr>
          <w:rFonts w:ascii="Calibri" w:eastAsia="Calibri" w:hAnsi="Calibri" w:cs="Calibri"/>
          <w:sz w:val="24"/>
          <w:szCs w:val="24"/>
        </w:rPr>
        <w:t>m</w:t>
      </w:r>
      <w:r w:rsidR="000F5068">
        <w:rPr>
          <w:rFonts w:ascii="Calibri" w:eastAsia="Calibri" w:hAnsi="Calibri" w:cs="Calibri"/>
          <w:sz w:val="24"/>
          <w:szCs w:val="24"/>
        </w:rPr>
        <w:t xml:space="preserve"> kontrolních postupů. </w:t>
      </w:r>
      <w:r w:rsidR="000540D2">
        <w:rPr>
          <w:rFonts w:ascii="Calibri" w:eastAsia="Calibri" w:hAnsi="Calibri" w:cs="Calibri"/>
          <w:sz w:val="24"/>
          <w:szCs w:val="24"/>
        </w:rPr>
        <w:t xml:space="preserve"> </w:t>
      </w:r>
    </w:p>
    <w:p w14:paraId="474A1716" w14:textId="6B0755A1" w:rsidR="00E30974" w:rsidRDefault="00145E30" w:rsidP="001C5AEA">
      <w:pPr>
        <w:spacing w:before="120" w:after="120"/>
        <w:jc w:val="both"/>
        <w:rPr>
          <w:rFonts w:cstheme="minorHAnsi"/>
          <w:sz w:val="24"/>
          <w:szCs w:val="24"/>
        </w:rPr>
      </w:pPr>
      <w:r>
        <w:rPr>
          <w:rFonts w:cstheme="minorHAnsi"/>
          <w:sz w:val="24"/>
          <w:szCs w:val="24"/>
        </w:rPr>
        <w:t xml:space="preserve">Cílem </w:t>
      </w:r>
      <w:r w:rsidR="00E30974">
        <w:rPr>
          <w:rFonts w:cstheme="minorHAnsi"/>
          <w:sz w:val="24"/>
          <w:szCs w:val="24"/>
        </w:rPr>
        <w:t xml:space="preserve">kontroly NKÚ </w:t>
      </w:r>
      <w:r>
        <w:rPr>
          <w:rFonts w:cstheme="minorHAnsi"/>
          <w:sz w:val="24"/>
          <w:szCs w:val="24"/>
        </w:rPr>
        <w:t xml:space="preserve">bylo prověřit, zda po </w:t>
      </w:r>
      <w:r w:rsidR="009129BC">
        <w:rPr>
          <w:rFonts w:cstheme="minorHAnsi"/>
          <w:sz w:val="24"/>
          <w:szCs w:val="24"/>
        </w:rPr>
        <w:t>zavedení nových nástrojů</w:t>
      </w:r>
      <w:r w:rsidR="00ED7E23">
        <w:rPr>
          <w:rStyle w:val="Znakapoznpodarou"/>
          <w:rFonts w:cstheme="minorHAnsi"/>
          <w:sz w:val="24"/>
          <w:szCs w:val="24"/>
        </w:rPr>
        <w:footnoteReference w:id="4"/>
      </w:r>
      <w:r w:rsidR="00E30974">
        <w:rPr>
          <w:rFonts w:cstheme="minorHAnsi"/>
          <w:sz w:val="24"/>
          <w:szCs w:val="24"/>
        </w:rPr>
        <w:t xml:space="preserve"> </w:t>
      </w:r>
      <w:r w:rsidR="00CE1018">
        <w:rPr>
          <w:rFonts w:cstheme="minorHAnsi"/>
          <w:sz w:val="24"/>
          <w:szCs w:val="24"/>
        </w:rPr>
        <w:t>do zákona o dan</w:t>
      </w:r>
      <w:r w:rsidR="004B1164">
        <w:rPr>
          <w:rFonts w:cstheme="minorHAnsi"/>
          <w:sz w:val="24"/>
          <w:szCs w:val="24"/>
        </w:rPr>
        <w:t>ích</w:t>
      </w:r>
      <w:r w:rsidR="00CE1018">
        <w:rPr>
          <w:rFonts w:cstheme="minorHAnsi"/>
          <w:sz w:val="24"/>
          <w:szCs w:val="24"/>
        </w:rPr>
        <w:t xml:space="preserve"> z</w:t>
      </w:r>
      <w:r w:rsidR="002D6AF9">
        <w:rPr>
          <w:rFonts w:cstheme="minorHAnsi"/>
          <w:sz w:val="24"/>
          <w:szCs w:val="24"/>
        </w:rPr>
        <w:t> </w:t>
      </w:r>
      <w:r w:rsidR="00CE1018">
        <w:rPr>
          <w:rFonts w:cstheme="minorHAnsi"/>
          <w:sz w:val="24"/>
          <w:szCs w:val="24"/>
        </w:rPr>
        <w:t>příjmů</w:t>
      </w:r>
      <w:r w:rsidR="00012778">
        <w:rPr>
          <w:rStyle w:val="Znakapoznpodarou"/>
          <w:rFonts w:ascii="Calibri" w:hAnsi="Calibri" w:cs="Calibri"/>
          <w:color w:val="000000" w:themeColor="text1"/>
          <w:sz w:val="24"/>
          <w:szCs w:val="24"/>
        </w:rPr>
        <w:footnoteReference w:id="5"/>
      </w:r>
      <w:r w:rsidR="00E30974">
        <w:rPr>
          <w:rFonts w:cstheme="minorHAnsi"/>
          <w:sz w:val="24"/>
          <w:szCs w:val="24"/>
        </w:rPr>
        <w:t xml:space="preserve"> </w:t>
      </w:r>
      <w:r>
        <w:rPr>
          <w:rFonts w:cstheme="minorHAnsi"/>
          <w:sz w:val="24"/>
          <w:szCs w:val="24"/>
        </w:rPr>
        <w:t>došlo ke snížení daňových úniků na dani z příjmů právnických osob</w:t>
      </w:r>
      <w:r w:rsidR="009129BC">
        <w:rPr>
          <w:rFonts w:cstheme="minorHAnsi"/>
          <w:sz w:val="24"/>
          <w:szCs w:val="24"/>
        </w:rPr>
        <w:t xml:space="preserve"> a zefektivnění správy daně</w:t>
      </w:r>
      <w:r w:rsidR="00E30974">
        <w:rPr>
          <w:rFonts w:cstheme="minorHAnsi"/>
          <w:sz w:val="24"/>
          <w:szCs w:val="24"/>
        </w:rPr>
        <w:t>. NKÚ v</w:t>
      </w:r>
      <w:r w:rsidR="00CB00DB">
        <w:rPr>
          <w:rFonts w:cstheme="minorHAnsi"/>
          <w:sz w:val="24"/>
          <w:szCs w:val="24"/>
        </w:rPr>
        <w:t> </w:t>
      </w:r>
      <w:r w:rsidR="00E30974">
        <w:rPr>
          <w:rFonts w:cstheme="minorHAnsi"/>
          <w:sz w:val="24"/>
          <w:szCs w:val="24"/>
        </w:rPr>
        <w:t>souvislosti</w:t>
      </w:r>
      <w:r w:rsidR="00CB00DB">
        <w:rPr>
          <w:rFonts w:cstheme="minorHAnsi"/>
          <w:sz w:val="24"/>
          <w:szCs w:val="24"/>
        </w:rPr>
        <w:t xml:space="preserve"> s výše uvedenými implementacemi </w:t>
      </w:r>
      <w:r w:rsidR="00E30974">
        <w:rPr>
          <w:rFonts w:cstheme="minorHAnsi"/>
          <w:sz w:val="24"/>
          <w:szCs w:val="24"/>
        </w:rPr>
        <w:t>prověřoval nákladovou efektivnost</w:t>
      </w:r>
      <w:r w:rsidR="00CB00DB">
        <w:rPr>
          <w:rFonts w:cstheme="minorHAnsi"/>
          <w:sz w:val="24"/>
          <w:szCs w:val="24"/>
        </w:rPr>
        <w:t xml:space="preserve"> správy DPPO</w:t>
      </w:r>
      <w:r w:rsidR="00E30974">
        <w:rPr>
          <w:rFonts w:cstheme="minorHAnsi"/>
          <w:sz w:val="24"/>
          <w:szCs w:val="24"/>
        </w:rPr>
        <w:t xml:space="preserve">, </w:t>
      </w:r>
      <w:r w:rsidR="005324E7">
        <w:rPr>
          <w:rFonts w:cstheme="minorHAnsi"/>
          <w:sz w:val="24"/>
          <w:szCs w:val="24"/>
        </w:rPr>
        <w:t xml:space="preserve">její </w:t>
      </w:r>
      <w:r w:rsidR="00A666BB">
        <w:rPr>
          <w:rFonts w:cstheme="minorHAnsi"/>
          <w:sz w:val="24"/>
          <w:szCs w:val="24"/>
        </w:rPr>
        <w:t>vybrané procesy</w:t>
      </w:r>
      <w:r w:rsidR="005324E7">
        <w:rPr>
          <w:rFonts w:cstheme="minorHAnsi"/>
          <w:sz w:val="24"/>
          <w:szCs w:val="24"/>
        </w:rPr>
        <w:t xml:space="preserve"> (např. kontrolní činnost, vymáhání daňových nedoplatků)</w:t>
      </w:r>
      <w:r w:rsidR="00A666BB">
        <w:rPr>
          <w:rFonts w:cstheme="minorHAnsi"/>
          <w:sz w:val="24"/>
          <w:szCs w:val="24"/>
        </w:rPr>
        <w:t xml:space="preserve"> </w:t>
      </w:r>
      <w:r w:rsidR="00CB00DB">
        <w:rPr>
          <w:rFonts w:cstheme="minorHAnsi"/>
          <w:sz w:val="24"/>
          <w:szCs w:val="24"/>
        </w:rPr>
        <w:t xml:space="preserve">a administrativní náročnost. </w:t>
      </w:r>
      <w:r w:rsidR="00313D29">
        <w:rPr>
          <w:rFonts w:cstheme="minorHAnsi"/>
          <w:sz w:val="24"/>
          <w:szCs w:val="24"/>
        </w:rPr>
        <w:t xml:space="preserve">NKÚ </w:t>
      </w:r>
      <w:r w:rsidR="00E80F1B">
        <w:rPr>
          <w:rFonts w:cstheme="minorHAnsi"/>
          <w:sz w:val="24"/>
          <w:szCs w:val="24"/>
        </w:rPr>
        <w:t>rovněž</w:t>
      </w:r>
      <w:r w:rsidR="00313D29">
        <w:rPr>
          <w:rFonts w:cstheme="minorHAnsi"/>
          <w:sz w:val="24"/>
          <w:szCs w:val="24"/>
        </w:rPr>
        <w:t xml:space="preserve"> ověřoval plnění opatření přijatých k nápravě nedostatků zjištěných </w:t>
      </w:r>
      <w:r w:rsidR="00A666BB">
        <w:rPr>
          <w:rFonts w:cstheme="minorHAnsi"/>
          <w:sz w:val="24"/>
          <w:szCs w:val="24"/>
        </w:rPr>
        <w:t>v KA č. 17/21</w:t>
      </w:r>
      <w:r w:rsidR="000457E8">
        <w:rPr>
          <w:rFonts w:cstheme="minorHAnsi"/>
          <w:sz w:val="24"/>
          <w:szCs w:val="24"/>
        </w:rPr>
        <w:t xml:space="preserve"> </w:t>
      </w:r>
      <w:r w:rsidR="00A40570">
        <w:rPr>
          <w:rFonts w:cstheme="minorHAnsi"/>
          <w:sz w:val="24"/>
          <w:szCs w:val="24"/>
        </w:rPr>
        <w:t xml:space="preserve">– </w:t>
      </w:r>
      <w:r w:rsidR="000457E8" w:rsidRPr="006767F8">
        <w:rPr>
          <w:rFonts w:ascii="Calibri" w:hAnsi="Calibri" w:cs="Calibri"/>
          <w:bCs/>
          <w:i/>
          <w:iCs/>
          <w:sz w:val="24"/>
          <w:szCs w:val="24"/>
        </w:rPr>
        <w:t>Správa daně z příjmů právnických osob</w:t>
      </w:r>
      <w:r w:rsidR="00313D29">
        <w:rPr>
          <w:rFonts w:cstheme="minorHAnsi"/>
          <w:sz w:val="24"/>
          <w:szCs w:val="24"/>
        </w:rPr>
        <w:t xml:space="preserve">. </w:t>
      </w:r>
    </w:p>
    <w:p w14:paraId="00649391" w14:textId="42F69A83" w:rsidR="004862AC" w:rsidRDefault="007A4464" w:rsidP="00F73AF5">
      <w:pPr>
        <w:spacing w:before="120" w:after="120"/>
        <w:jc w:val="both"/>
        <w:rPr>
          <w:rFonts w:ascii="Calibri" w:eastAsia="Calibri" w:hAnsi="Calibri" w:cs="Calibri"/>
          <w:b/>
          <w:sz w:val="24"/>
          <w:szCs w:val="24"/>
        </w:rPr>
      </w:pPr>
      <w:r>
        <w:rPr>
          <w:rFonts w:ascii="Calibri" w:eastAsia="Calibri" w:hAnsi="Calibri" w:cs="Calibri"/>
          <w:b/>
          <w:sz w:val="24"/>
          <w:szCs w:val="24"/>
        </w:rPr>
        <w:t>I</w:t>
      </w:r>
      <w:r w:rsidR="004A469A">
        <w:rPr>
          <w:rFonts w:ascii="Calibri" w:eastAsia="Calibri" w:hAnsi="Calibri" w:cs="Calibri"/>
          <w:b/>
          <w:sz w:val="24"/>
          <w:szCs w:val="24"/>
        </w:rPr>
        <w:t>mplementace směrnic</w:t>
      </w:r>
      <w:r w:rsidR="00BB5FA8">
        <w:rPr>
          <w:rFonts w:ascii="Calibri" w:eastAsia="Calibri" w:hAnsi="Calibri" w:cs="Calibri"/>
          <w:b/>
          <w:sz w:val="24"/>
          <w:szCs w:val="24"/>
        </w:rPr>
        <w:t>e</w:t>
      </w:r>
      <w:r w:rsidR="004A469A">
        <w:rPr>
          <w:rFonts w:ascii="Calibri" w:eastAsia="Calibri" w:hAnsi="Calibri" w:cs="Calibri"/>
          <w:b/>
          <w:sz w:val="24"/>
          <w:szCs w:val="24"/>
        </w:rPr>
        <w:t xml:space="preserve"> ATAD </w:t>
      </w:r>
      <w:r>
        <w:rPr>
          <w:rFonts w:ascii="Calibri" w:eastAsia="Calibri" w:hAnsi="Calibri" w:cs="Calibri"/>
          <w:b/>
          <w:sz w:val="24"/>
          <w:szCs w:val="24"/>
        </w:rPr>
        <w:t>zavedla</w:t>
      </w:r>
      <w:r w:rsidR="000A6FBF">
        <w:rPr>
          <w:rFonts w:ascii="Calibri" w:eastAsia="Calibri" w:hAnsi="Calibri" w:cs="Calibri"/>
          <w:b/>
          <w:sz w:val="24"/>
          <w:szCs w:val="24"/>
        </w:rPr>
        <w:t xml:space="preserve"> opatření</w:t>
      </w:r>
      <w:r>
        <w:rPr>
          <w:rFonts w:ascii="Calibri" w:eastAsia="Calibri" w:hAnsi="Calibri" w:cs="Calibri"/>
          <w:b/>
          <w:sz w:val="24"/>
          <w:szCs w:val="24"/>
        </w:rPr>
        <w:t xml:space="preserve">, </w:t>
      </w:r>
      <w:r w:rsidR="00B54AB9">
        <w:rPr>
          <w:rFonts w:ascii="Calibri" w:eastAsia="Calibri" w:hAnsi="Calibri" w:cs="Calibri"/>
          <w:b/>
          <w:sz w:val="24"/>
          <w:szCs w:val="24"/>
        </w:rPr>
        <w:t>jejichž cílem bylo</w:t>
      </w:r>
      <w:r>
        <w:rPr>
          <w:rFonts w:ascii="Calibri" w:eastAsia="Calibri" w:hAnsi="Calibri" w:cs="Calibri"/>
          <w:b/>
          <w:sz w:val="24"/>
          <w:szCs w:val="24"/>
        </w:rPr>
        <w:t xml:space="preserve"> </w:t>
      </w:r>
      <w:r w:rsidR="000A6FBF">
        <w:rPr>
          <w:rFonts w:ascii="Calibri" w:eastAsia="Calibri" w:hAnsi="Calibri" w:cs="Calibri"/>
          <w:b/>
          <w:sz w:val="24"/>
          <w:szCs w:val="24"/>
        </w:rPr>
        <w:t>odra</w:t>
      </w:r>
      <w:r w:rsidR="00B54AB9">
        <w:rPr>
          <w:rFonts w:ascii="Calibri" w:eastAsia="Calibri" w:hAnsi="Calibri" w:cs="Calibri"/>
          <w:b/>
          <w:sz w:val="24"/>
          <w:szCs w:val="24"/>
        </w:rPr>
        <w:t>dit</w:t>
      </w:r>
      <w:r w:rsidR="000A6FBF">
        <w:rPr>
          <w:rFonts w:ascii="Calibri" w:eastAsia="Calibri" w:hAnsi="Calibri" w:cs="Calibri"/>
          <w:b/>
          <w:sz w:val="24"/>
          <w:szCs w:val="24"/>
        </w:rPr>
        <w:t xml:space="preserve"> poplatníky </w:t>
      </w:r>
      <w:r w:rsidR="00B54AB9">
        <w:rPr>
          <w:rFonts w:ascii="Calibri" w:eastAsia="Calibri" w:hAnsi="Calibri" w:cs="Calibri"/>
          <w:b/>
          <w:sz w:val="24"/>
          <w:szCs w:val="24"/>
        </w:rPr>
        <w:t xml:space="preserve">daně z příjmů právnických osob </w:t>
      </w:r>
      <w:r w:rsidR="000A6FBF">
        <w:rPr>
          <w:rFonts w:ascii="Calibri" w:eastAsia="Calibri" w:hAnsi="Calibri" w:cs="Calibri"/>
          <w:b/>
          <w:sz w:val="24"/>
          <w:szCs w:val="24"/>
        </w:rPr>
        <w:t>od praktik vyhýbání se daňovým povinnostem</w:t>
      </w:r>
      <w:r w:rsidR="004862AC">
        <w:rPr>
          <w:rFonts w:ascii="Calibri" w:eastAsia="Calibri" w:hAnsi="Calibri" w:cs="Calibri"/>
          <w:b/>
          <w:sz w:val="24"/>
          <w:szCs w:val="24"/>
        </w:rPr>
        <w:t>.</w:t>
      </w:r>
      <w:r w:rsidR="004A469A">
        <w:rPr>
          <w:rFonts w:ascii="Calibri" w:eastAsia="Calibri" w:hAnsi="Calibri" w:cs="Calibri"/>
          <w:b/>
          <w:sz w:val="24"/>
          <w:szCs w:val="24"/>
        </w:rPr>
        <w:t xml:space="preserve"> </w:t>
      </w:r>
      <w:r w:rsidR="00D26516">
        <w:rPr>
          <w:rFonts w:ascii="Calibri" w:eastAsia="Calibri" w:hAnsi="Calibri" w:cs="Calibri"/>
          <w:b/>
          <w:sz w:val="24"/>
          <w:szCs w:val="24"/>
        </w:rPr>
        <w:t>Výši d</w:t>
      </w:r>
      <w:r w:rsidR="001C133C">
        <w:rPr>
          <w:rFonts w:ascii="Calibri" w:eastAsia="Calibri" w:hAnsi="Calibri" w:cs="Calibri"/>
          <w:b/>
          <w:sz w:val="24"/>
          <w:szCs w:val="24"/>
        </w:rPr>
        <w:t>opad</w:t>
      </w:r>
      <w:r w:rsidR="00D26516">
        <w:rPr>
          <w:rFonts w:ascii="Calibri" w:eastAsia="Calibri" w:hAnsi="Calibri" w:cs="Calibri"/>
          <w:b/>
          <w:sz w:val="24"/>
          <w:szCs w:val="24"/>
        </w:rPr>
        <w:t>u</w:t>
      </w:r>
      <w:r w:rsidR="001C133C">
        <w:rPr>
          <w:rFonts w:ascii="Calibri" w:eastAsia="Calibri" w:hAnsi="Calibri" w:cs="Calibri"/>
          <w:b/>
          <w:sz w:val="24"/>
          <w:szCs w:val="24"/>
        </w:rPr>
        <w:t xml:space="preserve"> nových </w:t>
      </w:r>
      <w:r w:rsidR="002150D5">
        <w:rPr>
          <w:rFonts w:ascii="Calibri" w:eastAsia="Calibri" w:hAnsi="Calibri" w:cs="Calibri"/>
          <w:b/>
          <w:sz w:val="24"/>
          <w:szCs w:val="24"/>
        </w:rPr>
        <w:t xml:space="preserve">opatření </w:t>
      </w:r>
      <w:r w:rsidR="001C133C">
        <w:rPr>
          <w:rFonts w:ascii="Calibri" w:eastAsia="Calibri" w:hAnsi="Calibri" w:cs="Calibri"/>
          <w:b/>
          <w:sz w:val="24"/>
          <w:szCs w:val="24"/>
        </w:rPr>
        <w:t>ve vztahu k daňovým únikům nelze vyčíslit z důvodu nedostatku datových zdrojů.</w:t>
      </w:r>
      <w:r w:rsidR="00894A91">
        <w:rPr>
          <w:rFonts w:ascii="Calibri" w:eastAsia="Calibri" w:hAnsi="Calibri" w:cs="Calibri"/>
          <w:b/>
          <w:sz w:val="24"/>
          <w:szCs w:val="24"/>
        </w:rPr>
        <w:t xml:space="preserve"> </w:t>
      </w:r>
    </w:p>
    <w:p w14:paraId="2D7DDCB9" w14:textId="4CFDD61E" w:rsidR="005474AD" w:rsidRDefault="00894A91" w:rsidP="00F73AF5">
      <w:pPr>
        <w:spacing w:before="120" w:after="120"/>
        <w:jc w:val="both"/>
        <w:rPr>
          <w:rFonts w:ascii="Calibri" w:eastAsia="Calibri" w:hAnsi="Calibri" w:cs="Calibri"/>
          <w:b/>
          <w:sz w:val="24"/>
          <w:szCs w:val="24"/>
        </w:rPr>
      </w:pPr>
      <w:r>
        <w:rPr>
          <w:rFonts w:ascii="Calibri" w:eastAsia="Calibri" w:hAnsi="Calibri" w:cs="Calibri"/>
          <w:b/>
          <w:sz w:val="24"/>
          <w:szCs w:val="24"/>
        </w:rPr>
        <w:t xml:space="preserve">Implementace směrnice DAC6 </w:t>
      </w:r>
      <w:r w:rsidR="007D4D51">
        <w:rPr>
          <w:rFonts w:ascii="Calibri" w:eastAsia="Calibri" w:hAnsi="Calibri" w:cs="Calibri"/>
          <w:b/>
          <w:sz w:val="24"/>
          <w:szCs w:val="24"/>
        </w:rPr>
        <w:t>posílila</w:t>
      </w:r>
      <w:r>
        <w:rPr>
          <w:rFonts w:ascii="Calibri" w:eastAsia="Calibri" w:hAnsi="Calibri" w:cs="Calibri"/>
          <w:b/>
          <w:sz w:val="24"/>
          <w:szCs w:val="24"/>
        </w:rPr>
        <w:t xml:space="preserve"> mezinárodní výměn</w:t>
      </w:r>
      <w:r w:rsidR="007D4D51">
        <w:rPr>
          <w:rFonts w:ascii="Calibri" w:eastAsia="Calibri" w:hAnsi="Calibri" w:cs="Calibri"/>
          <w:b/>
          <w:sz w:val="24"/>
          <w:szCs w:val="24"/>
        </w:rPr>
        <w:t>u</w:t>
      </w:r>
      <w:r>
        <w:rPr>
          <w:rFonts w:ascii="Calibri" w:eastAsia="Calibri" w:hAnsi="Calibri" w:cs="Calibri"/>
          <w:b/>
          <w:sz w:val="24"/>
          <w:szCs w:val="24"/>
        </w:rPr>
        <w:t xml:space="preserve"> informací</w:t>
      </w:r>
      <w:r w:rsidR="007614C7">
        <w:rPr>
          <w:rFonts w:ascii="Calibri" w:eastAsia="Calibri" w:hAnsi="Calibri" w:cs="Calibri"/>
          <w:b/>
          <w:sz w:val="24"/>
          <w:szCs w:val="24"/>
        </w:rPr>
        <w:t>, ale využitelnost těchto informací byla v ČR minimální</w:t>
      </w:r>
      <w:r>
        <w:rPr>
          <w:rFonts w:ascii="Calibri" w:eastAsia="Calibri" w:hAnsi="Calibri" w:cs="Calibri"/>
          <w:b/>
          <w:sz w:val="24"/>
          <w:szCs w:val="24"/>
        </w:rPr>
        <w:t>.</w:t>
      </w:r>
      <w:r w:rsidR="00BB5FA8">
        <w:rPr>
          <w:rFonts w:ascii="Calibri" w:eastAsia="Calibri" w:hAnsi="Calibri" w:cs="Calibri"/>
          <w:b/>
          <w:sz w:val="24"/>
          <w:szCs w:val="24"/>
        </w:rPr>
        <w:t xml:space="preserve"> </w:t>
      </w:r>
      <w:r w:rsidR="004D2EF2" w:rsidRPr="00CE0EBA">
        <w:rPr>
          <w:rFonts w:ascii="Calibri" w:eastAsia="Calibri" w:hAnsi="Calibri" w:cs="Calibri"/>
          <w:b/>
          <w:bCs/>
          <w:sz w:val="24"/>
          <w:szCs w:val="24"/>
        </w:rPr>
        <w:t>Na základě prověření informací z oznámení DAC6</w:t>
      </w:r>
      <w:r w:rsidR="007B1099">
        <w:rPr>
          <w:rStyle w:val="Znakapoznpodarou"/>
          <w:rFonts w:ascii="Calibri" w:hAnsi="Calibri" w:cs="Calibri"/>
          <w:b/>
          <w:sz w:val="24"/>
          <w:szCs w:val="24"/>
        </w:rPr>
        <w:footnoteReference w:id="6"/>
      </w:r>
      <w:r w:rsidR="007B1099">
        <w:rPr>
          <w:rFonts w:ascii="Calibri" w:eastAsia="Calibri" w:hAnsi="Calibri" w:cs="Calibri"/>
          <w:b/>
          <w:sz w:val="24"/>
          <w:szCs w:val="24"/>
        </w:rPr>
        <w:t xml:space="preserve"> </w:t>
      </w:r>
      <w:r w:rsidR="004D2EF2" w:rsidRPr="00CE0EBA">
        <w:rPr>
          <w:rFonts w:ascii="Calibri" w:eastAsia="Calibri" w:hAnsi="Calibri" w:cs="Calibri"/>
          <w:b/>
          <w:bCs/>
          <w:sz w:val="24"/>
          <w:szCs w:val="24"/>
        </w:rPr>
        <w:t>nevyhodnotila FS ČR žádná rizika s dopadem do daňových příjmů</w:t>
      </w:r>
      <w:r w:rsidR="00BB5FA8" w:rsidRPr="00CE0EBA">
        <w:rPr>
          <w:rFonts w:ascii="Calibri" w:eastAsia="Calibri" w:hAnsi="Calibri" w:cs="Calibri"/>
          <w:b/>
          <w:bCs/>
          <w:sz w:val="24"/>
          <w:szCs w:val="24"/>
        </w:rPr>
        <w:t>.</w:t>
      </w:r>
      <w:r w:rsidR="004D2EF2">
        <w:rPr>
          <w:rFonts w:ascii="Calibri" w:eastAsia="Calibri" w:hAnsi="Calibri" w:cs="Calibri"/>
          <w:sz w:val="24"/>
          <w:szCs w:val="24"/>
        </w:rPr>
        <w:t xml:space="preserve"> </w:t>
      </w:r>
    </w:p>
    <w:p w14:paraId="40DF88D7" w14:textId="77777777" w:rsidR="00FB5E32" w:rsidRDefault="00FB5E32" w:rsidP="00AB028C">
      <w:pPr>
        <w:keepNext/>
        <w:spacing w:before="240" w:after="240"/>
        <w:jc w:val="both"/>
        <w:rPr>
          <w:rFonts w:ascii="Calibri" w:eastAsia="Calibri" w:hAnsi="Calibri" w:cs="Calibri"/>
          <w:sz w:val="24"/>
          <w:szCs w:val="24"/>
        </w:rPr>
      </w:pPr>
      <w:r>
        <w:rPr>
          <w:rFonts w:ascii="Calibri" w:eastAsia="Calibri" w:hAnsi="Calibri" w:cs="Calibri"/>
          <w:sz w:val="24"/>
          <w:szCs w:val="24"/>
        </w:rPr>
        <w:t>Toto celkové vyhodnocení se opírá o následující zjištění:</w:t>
      </w:r>
    </w:p>
    <w:p w14:paraId="5A916902" w14:textId="136CE97E" w:rsidR="00C82017" w:rsidRPr="001A21D5" w:rsidRDefault="00C82017" w:rsidP="00AB028C">
      <w:pPr>
        <w:pStyle w:val="Odstavecseseznamem"/>
        <w:numPr>
          <w:ilvl w:val="0"/>
          <w:numId w:val="30"/>
        </w:numPr>
        <w:spacing w:before="120" w:after="120"/>
        <w:ind w:left="284" w:hanging="284"/>
        <w:jc w:val="both"/>
        <w:rPr>
          <w:rFonts w:ascii="Calibri" w:eastAsia="Calibri" w:hAnsi="Calibri" w:cs="Calibri"/>
          <w:b/>
          <w:sz w:val="24"/>
          <w:szCs w:val="24"/>
        </w:rPr>
      </w:pPr>
      <w:r>
        <w:rPr>
          <w:rFonts w:ascii="Calibri" w:hAnsi="Calibri" w:cs="Calibri"/>
          <w:b/>
          <w:bCs/>
          <w:color w:val="000000" w:themeColor="text1"/>
          <w:sz w:val="24"/>
          <w:szCs w:val="24"/>
        </w:rPr>
        <w:t>Pro vyhodnocení dopadu implementace směrnic</w:t>
      </w:r>
      <w:r w:rsidR="007B1099">
        <w:rPr>
          <w:rFonts w:ascii="Calibri" w:hAnsi="Calibri" w:cs="Calibri"/>
          <w:b/>
          <w:bCs/>
          <w:color w:val="000000" w:themeColor="text1"/>
          <w:sz w:val="24"/>
          <w:szCs w:val="24"/>
        </w:rPr>
        <w:t>e</w:t>
      </w:r>
      <w:r>
        <w:rPr>
          <w:rFonts w:ascii="Calibri" w:hAnsi="Calibri" w:cs="Calibri"/>
          <w:b/>
          <w:bCs/>
          <w:color w:val="000000" w:themeColor="text1"/>
          <w:sz w:val="24"/>
          <w:szCs w:val="24"/>
        </w:rPr>
        <w:t xml:space="preserve"> ATAD neexistovala vhodná zdrojová data</w:t>
      </w:r>
    </w:p>
    <w:p w14:paraId="177667D1" w14:textId="4639B57B" w:rsidR="007113D6" w:rsidRDefault="007113D6" w:rsidP="00A80439">
      <w:pPr>
        <w:spacing w:before="120" w:after="120"/>
        <w:jc w:val="both"/>
        <w:rPr>
          <w:rFonts w:ascii="Calibri" w:eastAsia="Calibri" w:hAnsi="Calibri" w:cs="Calibri"/>
          <w:sz w:val="24"/>
          <w:szCs w:val="24"/>
        </w:rPr>
      </w:pPr>
      <w:r>
        <w:rPr>
          <w:rFonts w:ascii="Calibri" w:eastAsia="Calibri" w:hAnsi="Calibri" w:cs="Calibri"/>
          <w:sz w:val="24"/>
          <w:szCs w:val="24"/>
        </w:rPr>
        <w:t>Zavedení speciálního daňového režimu a nových povinností ve vztahu k daňov</w:t>
      </w:r>
      <w:r w:rsidR="00FB49C5">
        <w:rPr>
          <w:rFonts w:ascii="Calibri" w:eastAsia="Calibri" w:hAnsi="Calibri" w:cs="Calibri"/>
          <w:sz w:val="24"/>
          <w:szCs w:val="24"/>
        </w:rPr>
        <w:t>ému</w:t>
      </w:r>
      <w:r>
        <w:rPr>
          <w:rFonts w:ascii="Calibri" w:eastAsia="Calibri" w:hAnsi="Calibri" w:cs="Calibri"/>
          <w:sz w:val="24"/>
          <w:szCs w:val="24"/>
        </w:rPr>
        <w:t xml:space="preserve"> přiznání </w:t>
      </w:r>
      <w:r w:rsidR="00FB49C5">
        <w:rPr>
          <w:rFonts w:ascii="Calibri" w:eastAsia="Calibri" w:hAnsi="Calibri" w:cs="Calibri"/>
          <w:sz w:val="24"/>
          <w:szCs w:val="24"/>
        </w:rPr>
        <w:t xml:space="preserve">k DPPO (dále také </w:t>
      </w:r>
      <w:r w:rsidR="00FB49C5" w:rsidRPr="00AD08F5">
        <w:rPr>
          <w:rFonts w:ascii="Calibri" w:eastAsia="Calibri" w:hAnsi="Calibri" w:cs="Calibri"/>
          <w:sz w:val="24"/>
          <w:szCs w:val="24"/>
        </w:rPr>
        <w:t>„</w:t>
      </w:r>
      <w:r w:rsidR="00FB49C5" w:rsidRPr="00814652">
        <w:rPr>
          <w:rFonts w:ascii="Calibri" w:eastAsia="Calibri" w:hAnsi="Calibri" w:cs="Calibri"/>
          <w:iCs/>
          <w:sz w:val="24"/>
          <w:szCs w:val="24"/>
        </w:rPr>
        <w:t>DAP</w:t>
      </w:r>
      <w:r w:rsidR="00FB49C5" w:rsidRPr="00AD08F5">
        <w:rPr>
          <w:rFonts w:ascii="Calibri" w:eastAsia="Calibri" w:hAnsi="Calibri" w:cs="Calibri"/>
          <w:sz w:val="24"/>
          <w:szCs w:val="24"/>
        </w:rPr>
        <w:t>“</w:t>
      </w:r>
      <w:r w:rsidR="00FB49C5">
        <w:rPr>
          <w:rFonts w:ascii="Calibri" w:eastAsia="Calibri" w:hAnsi="Calibri" w:cs="Calibri"/>
          <w:sz w:val="24"/>
          <w:szCs w:val="24"/>
        </w:rPr>
        <w:t xml:space="preserve">) </w:t>
      </w:r>
      <w:r>
        <w:rPr>
          <w:rFonts w:ascii="Calibri" w:eastAsia="Calibri" w:hAnsi="Calibri" w:cs="Calibri"/>
          <w:sz w:val="24"/>
          <w:szCs w:val="24"/>
        </w:rPr>
        <w:t>preventivně bojuj</w:t>
      </w:r>
      <w:r w:rsidR="00646B29">
        <w:rPr>
          <w:rFonts w:ascii="Calibri" w:eastAsia="Calibri" w:hAnsi="Calibri" w:cs="Calibri"/>
          <w:sz w:val="24"/>
          <w:szCs w:val="24"/>
        </w:rPr>
        <w:t>e</w:t>
      </w:r>
      <w:r>
        <w:rPr>
          <w:rFonts w:ascii="Calibri" w:eastAsia="Calibri" w:hAnsi="Calibri" w:cs="Calibri"/>
          <w:sz w:val="24"/>
          <w:szCs w:val="24"/>
        </w:rPr>
        <w:t xml:space="preserve"> proti daňovým únikům. </w:t>
      </w:r>
      <w:r w:rsidR="007910E1">
        <w:rPr>
          <w:rFonts w:ascii="Calibri" w:eastAsia="Calibri" w:hAnsi="Calibri" w:cs="Calibri"/>
          <w:sz w:val="24"/>
          <w:szCs w:val="24"/>
        </w:rPr>
        <w:t>Dopad</w:t>
      </w:r>
      <w:r w:rsidR="00A80439">
        <w:rPr>
          <w:rFonts w:ascii="Calibri" w:eastAsia="Calibri" w:hAnsi="Calibri" w:cs="Calibri"/>
          <w:sz w:val="24"/>
          <w:szCs w:val="24"/>
        </w:rPr>
        <w:t xml:space="preserve"> zavedených opatření </w:t>
      </w:r>
      <w:r w:rsidR="007910E1">
        <w:rPr>
          <w:rFonts w:ascii="Calibri" w:eastAsia="Calibri" w:hAnsi="Calibri" w:cs="Calibri"/>
          <w:sz w:val="24"/>
          <w:szCs w:val="24"/>
        </w:rPr>
        <w:t xml:space="preserve">ve vztahu k daňovým příjmům </w:t>
      </w:r>
      <w:r w:rsidR="001C133C">
        <w:rPr>
          <w:rFonts w:ascii="Calibri" w:eastAsia="Calibri" w:hAnsi="Calibri" w:cs="Calibri"/>
          <w:sz w:val="24"/>
          <w:szCs w:val="24"/>
        </w:rPr>
        <w:t>nelze kvantifikovat</w:t>
      </w:r>
      <w:r w:rsidR="008A297B">
        <w:rPr>
          <w:rFonts w:ascii="Calibri" w:eastAsia="Calibri" w:hAnsi="Calibri" w:cs="Calibri"/>
          <w:sz w:val="24"/>
          <w:szCs w:val="24"/>
        </w:rPr>
        <w:t xml:space="preserve"> z důvodu neexistence dostatečných podkladů</w:t>
      </w:r>
      <w:r w:rsidR="00360E68">
        <w:rPr>
          <w:rFonts w:ascii="Calibri" w:eastAsia="Calibri" w:hAnsi="Calibri" w:cs="Calibri"/>
          <w:sz w:val="24"/>
          <w:szCs w:val="24"/>
        </w:rPr>
        <w:t>.</w:t>
      </w:r>
    </w:p>
    <w:p w14:paraId="34797A98" w14:textId="369A22C1" w:rsidR="00BB6A4F" w:rsidRPr="00A80439" w:rsidRDefault="000F45CE" w:rsidP="00AB028C">
      <w:pPr>
        <w:pStyle w:val="Odstavecseseznamem"/>
        <w:numPr>
          <w:ilvl w:val="0"/>
          <w:numId w:val="30"/>
        </w:numPr>
        <w:spacing w:before="120" w:after="120"/>
        <w:ind w:left="284" w:hanging="284"/>
        <w:jc w:val="both"/>
        <w:rPr>
          <w:rFonts w:ascii="Calibri" w:hAnsi="Calibri" w:cs="Calibri"/>
          <w:b/>
          <w:bCs/>
          <w:color w:val="000000" w:themeColor="text1"/>
          <w:sz w:val="24"/>
          <w:szCs w:val="24"/>
        </w:rPr>
      </w:pPr>
      <w:r>
        <w:rPr>
          <w:rFonts w:ascii="Calibri" w:hAnsi="Calibri" w:cs="Calibri"/>
          <w:b/>
          <w:bCs/>
          <w:color w:val="000000" w:themeColor="text1"/>
          <w:sz w:val="24"/>
          <w:szCs w:val="24"/>
        </w:rPr>
        <w:t>GFŘ</w:t>
      </w:r>
      <w:r w:rsidR="00360E68">
        <w:rPr>
          <w:rFonts w:ascii="Calibri" w:hAnsi="Calibri" w:cs="Calibri"/>
          <w:b/>
          <w:bCs/>
          <w:color w:val="000000" w:themeColor="text1"/>
          <w:sz w:val="24"/>
          <w:szCs w:val="24"/>
        </w:rPr>
        <w:t xml:space="preserve"> nenastavilo postup pro předávání všech informací z oznámení DAC6 správcům daně</w:t>
      </w:r>
    </w:p>
    <w:p w14:paraId="544C916E" w14:textId="77777777" w:rsidR="005A4ED7" w:rsidRDefault="00012B5F" w:rsidP="005F161A">
      <w:pPr>
        <w:jc w:val="both"/>
        <w:rPr>
          <w:rFonts w:ascii="Calibri" w:eastAsia="Calibri" w:hAnsi="Calibri" w:cs="Calibri"/>
          <w:sz w:val="24"/>
          <w:szCs w:val="24"/>
        </w:rPr>
      </w:pPr>
      <w:r w:rsidRPr="005F161A">
        <w:rPr>
          <w:rFonts w:ascii="Calibri" w:eastAsia="Calibri" w:hAnsi="Calibri" w:cs="Calibri"/>
          <w:sz w:val="24"/>
          <w:szCs w:val="24"/>
        </w:rPr>
        <w:t>GFŘ n</w:t>
      </w:r>
      <w:r w:rsidRPr="006653FD">
        <w:rPr>
          <w:rFonts w:ascii="Calibri" w:eastAsia="Calibri" w:hAnsi="Calibri" w:cs="Calibri"/>
          <w:sz w:val="24"/>
          <w:szCs w:val="24"/>
        </w:rPr>
        <w:t xml:space="preserve">enastavilo postup pro předávání informací z oznámení DAC6 místně příslušným finančním úřadům (dále také </w:t>
      </w:r>
      <w:r w:rsidRPr="00AD08F5">
        <w:rPr>
          <w:rFonts w:ascii="Calibri" w:eastAsia="Calibri" w:hAnsi="Calibri" w:cs="Calibri"/>
          <w:sz w:val="24"/>
          <w:szCs w:val="24"/>
        </w:rPr>
        <w:t>„</w:t>
      </w:r>
      <w:r w:rsidRPr="00814652">
        <w:rPr>
          <w:rFonts w:ascii="Calibri" w:eastAsia="Calibri" w:hAnsi="Calibri" w:cs="Calibri"/>
          <w:iCs/>
          <w:sz w:val="24"/>
          <w:szCs w:val="24"/>
        </w:rPr>
        <w:t>FÚ</w:t>
      </w:r>
      <w:r w:rsidRPr="00AD08F5">
        <w:rPr>
          <w:rFonts w:ascii="Calibri" w:eastAsia="Calibri" w:hAnsi="Calibri" w:cs="Calibri"/>
          <w:sz w:val="24"/>
          <w:szCs w:val="24"/>
        </w:rPr>
        <w:t>“</w:t>
      </w:r>
      <w:r w:rsidRPr="006653FD">
        <w:rPr>
          <w:rFonts w:ascii="Calibri" w:eastAsia="Calibri" w:hAnsi="Calibri" w:cs="Calibri"/>
          <w:sz w:val="24"/>
          <w:szCs w:val="24"/>
        </w:rPr>
        <w:t xml:space="preserve">) takovým způsobem, aby správci daně měli k dispozici veškeré informace, např. pro využití při provádění vyhledávací činnosti, rizikových analýzách a následně v kontrolních postupech. </w:t>
      </w:r>
    </w:p>
    <w:p w14:paraId="7A482D39" w14:textId="5222D03B" w:rsidR="003E3248" w:rsidRPr="003E3248" w:rsidRDefault="00F44E89" w:rsidP="005F161A">
      <w:pPr>
        <w:jc w:val="both"/>
        <w:rPr>
          <w:rFonts w:ascii="Calibri" w:eastAsia="Calibri" w:hAnsi="Calibri" w:cs="Calibri"/>
          <w:sz w:val="24"/>
          <w:szCs w:val="24"/>
        </w:rPr>
      </w:pPr>
      <w:r w:rsidRPr="005F161A">
        <w:rPr>
          <w:rFonts w:ascii="Calibri" w:eastAsia="Calibri" w:hAnsi="Calibri" w:cs="Calibri"/>
          <w:sz w:val="24"/>
          <w:szCs w:val="24"/>
        </w:rPr>
        <w:lastRenderedPageBreak/>
        <w:t>NKÚ</w:t>
      </w:r>
      <w:r w:rsidR="005A4ED7">
        <w:rPr>
          <w:rFonts w:ascii="Calibri" w:eastAsia="Calibri" w:hAnsi="Calibri" w:cs="Calibri"/>
          <w:sz w:val="24"/>
          <w:szCs w:val="24"/>
        </w:rPr>
        <w:t xml:space="preserve"> dále</w:t>
      </w:r>
      <w:r w:rsidRPr="005F161A">
        <w:rPr>
          <w:rFonts w:ascii="Calibri" w:eastAsia="Calibri" w:hAnsi="Calibri" w:cs="Calibri"/>
          <w:sz w:val="24"/>
          <w:szCs w:val="24"/>
        </w:rPr>
        <w:t xml:space="preserve"> zjistil, že </w:t>
      </w:r>
      <w:r w:rsidR="00F457D1" w:rsidRPr="005F161A">
        <w:rPr>
          <w:rFonts w:ascii="Calibri" w:eastAsia="Calibri" w:hAnsi="Calibri" w:cs="Calibri"/>
          <w:sz w:val="24"/>
          <w:szCs w:val="24"/>
        </w:rPr>
        <w:t xml:space="preserve">GFŘ </w:t>
      </w:r>
      <w:r w:rsidR="001F43DC" w:rsidRPr="005F161A">
        <w:rPr>
          <w:rFonts w:ascii="Calibri" w:eastAsia="Calibri" w:hAnsi="Calibri" w:cs="Calibri"/>
          <w:sz w:val="24"/>
          <w:szCs w:val="24"/>
        </w:rPr>
        <w:t>v rámci prověřování</w:t>
      </w:r>
      <w:r w:rsidR="00D737CE" w:rsidRPr="005F161A">
        <w:rPr>
          <w:rFonts w:ascii="Calibri" w:eastAsia="Calibri" w:hAnsi="Calibri" w:cs="Calibri"/>
          <w:sz w:val="24"/>
          <w:szCs w:val="24"/>
        </w:rPr>
        <w:t xml:space="preserve"> 927 oznámení DAC6</w:t>
      </w:r>
      <w:r w:rsidR="00DC326D" w:rsidRPr="005F161A">
        <w:rPr>
          <w:rFonts w:ascii="Calibri" w:eastAsia="Calibri" w:hAnsi="Calibri" w:cs="Calibri"/>
          <w:sz w:val="24"/>
          <w:szCs w:val="24"/>
        </w:rPr>
        <w:t xml:space="preserve"> obdržených v letech 2020 až 2023</w:t>
      </w:r>
      <w:r w:rsidR="00D737CE" w:rsidRPr="005F161A">
        <w:rPr>
          <w:rFonts w:ascii="Calibri" w:eastAsia="Calibri" w:hAnsi="Calibri" w:cs="Calibri"/>
          <w:sz w:val="24"/>
          <w:szCs w:val="24"/>
        </w:rPr>
        <w:t xml:space="preserve"> </w:t>
      </w:r>
      <w:r w:rsidR="00902B7F" w:rsidRPr="005F161A">
        <w:rPr>
          <w:rFonts w:ascii="Calibri" w:eastAsia="Calibri" w:hAnsi="Calibri" w:cs="Calibri"/>
          <w:sz w:val="24"/>
          <w:szCs w:val="24"/>
        </w:rPr>
        <w:t>neiden</w:t>
      </w:r>
      <w:r w:rsidR="00D80447">
        <w:rPr>
          <w:rFonts w:ascii="Calibri" w:eastAsia="Calibri" w:hAnsi="Calibri" w:cs="Calibri"/>
          <w:sz w:val="24"/>
          <w:szCs w:val="24"/>
        </w:rPr>
        <w:t>t</w:t>
      </w:r>
      <w:r w:rsidR="00902B7F" w:rsidRPr="005F161A">
        <w:rPr>
          <w:rFonts w:ascii="Calibri" w:eastAsia="Calibri" w:hAnsi="Calibri" w:cs="Calibri"/>
          <w:sz w:val="24"/>
          <w:szCs w:val="24"/>
        </w:rPr>
        <w:t>i</w:t>
      </w:r>
      <w:r w:rsidR="009346BA">
        <w:rPr>
          <w:rFonts w:ascii="Calibri" w:eastAsia="Calibri" w:hAnsi="Calibri" w:cs="Calibri"/>
          <w:sz w:val="24"/>
          <w:szCs w:val="24"/>
        </w:rPr>
        <w:t>fi</w:t>
      </w:r>
      <w:r w:rsidR="00902B7F" w:rsidRPr="005F161A">
        <w:rPr>
          <w:rFonts w:ascii="Calibri" w:eastAsia="Calibri" w:hAnsi="Calibri" w:cs="Calibri"/>
          <w:sz w:val="24"/>
          <w:szCs w:val="24"/>
        </w:rPr>
        <w:t xml:space="preserve">kovalo žádný případ </w:t>
      </w:r>
      <w:r w:rsidR="003A4B45" w:rsidRPr="005F161A">
        <w:rPr>
          <w:rFonts w:ascii="Calibri" w:eastAsia="Calibri" w:hAnsi="Calibri" w:cs="Calibri"/>
          <w:sz w:val="24"/>
          <w:szCs w:val="24"/>
        </w:rPr>
        <w:t xml:space="preserve">s rizikem dopadu </w:t>
      </w:r>
      <w:r w:rsidR="00AD08F5">
        <w:rPr>
          <w:rFonts w:ascii="Calibri" w:eastAsia="Calibri" w:hAnsi="Calibri" w:cs="Calibri"/>
          <w:sz w:val="24"/>
          <w:szCs w:val="24"/>
        </w:rPr>
        <w:t>na</w:t>
      </w:r>
      <w:r w:rsidR="003A4B45" w:rsidRPr="005F161A">
        <w:rPr>
          <w:rFonts w:ascii="Calibri" w:eastAsia="Calibri" w:hAnsi="Calibri" w:cs="Calibri"/>
          <w:sz w:val="24"/>
          <w:szCs w:val="24"/>
        </w:rPr>
        <w:t xml:space="preserve"> daňov</w:t>
      </w:r>
      <w:r w:rsidR="00AD08F5">
        <w:rPr>
          <w:rFonts w:ascii="Calibri" w:eastAsia="Calibri" w:hAnsi="Calibri" w:cs="Calibri"/>
          <w:sz w:val="24"/>
          <w:szCs w:val="24"/>
        </w:rPr>
        <w:t>é</w:t>
      </w:r>
      <w:r w:rsidR="003A4B45" w:rsidRPr="005F161A">
        <w:rPr>
          <w:rFonts w:ascii="Calibri" w:eastAsia="Calibri" w:hAnsi="Calibri" w:cs="Calibri"/>
          <w:sz w:val="24"/>
          <w:szCs w:val="24"/>
        </w:rPr>
        <w:t xml:space="preserve"> příjm</w:t>
      </w:r>
      <w:r w:rsidR="00AD08F5">
        <w:rPr>
          <w:rFonts w:ascii="Calibri" w:eastAsia="Calibri" w:hAnsi="Calibri" w:cs="Calibri"/>
          <w:sz w:val="24"/>
          <w:szCs w:val="24"/>
        </w:rPr>
        <w:t>y</w:t>
      </w:r>
      <w:r w:rsidR="00902B7F" w:rsidRPr="005F161A">
        <w:rPr>
          <w:rFonts w:ascii="Calibri" w:eastAsia="Calibri" w:hAnsi="Calibri" w:cs="Calibri"/>
          <w:sz w:val="24"/>
          <w:szCs w:val="24"/>
        </w:rPr>
        <w:t xml:space="preserve">. </w:t>
      </w:r>
    </w:p>
    <w:p w14:paraId="16C17519" w14:textId="0EC74234" w:rsidR="00FB6AA4" w:rsidRPr="00FB6AA4" w:rsidRDefault="00883C92" w:rsidP="00A33DFD">
      <w:pPr>
        <w:pStyle w:val="Odstavecseseznamem"/>
        <w:numPr>
          <w:ilvl w:val="0"/>
          <w:numId w:val="30"/>
        </w:numPr>
        <w:ind w:left="284" w:hanging="284"/>
        <w:jc w:val="both"/>
        <w:rPr>
          <w:rFonts w:ascii="Calibri" w:eastAsia="Calibri" w:hAnsi="Calibri" w:cs="Arial"/>
          <w:sz w:val="24"/>
          <w:szCs w:val="24"/>
        </w:rPr>
      </w:pPr>
      <w:r w:rsidRPr="00FB6AA4">
        <w:rPr>
          <w:rFonts w:ascii="Calibri" w:hAnsi="Calibri" w:cs="Calibri"/>
          <w:b/>
          <w:bCs/>
          <w:color w:val="000000" w:themeColor="text1"/>
          <w:sz w:val="24"/>
          <w:szCs w:val="24"/>
        </w:rPr>
        <w:t>Implementace směrni</w:t>
      </w:r>
      <w:r w:rsidR="005635F1" w:rsidRPr="00FB6AA4">
        <w:rPr>
          <w:rFonts w:ascii="Calibri" w:hAnsi="Calibri" w:cs="Calibri"/>
          <w:b/>
          <w:bCs/>
          <w:color w:val="000000" w:themeColor="text1"/>
          <w:sz w:val="24"/>
          <w:szCs w:val="24"/>
        </w:rPr>
        <w:t>c ATAD a</w:t>
      </w:r>
      <w:r w:rsidRPr="00FB6AA4">
        <w:rPr>
          <w:rFonts w:ascii="Calibri" w:hAnsi="Calibri" w:cs="Calibri"/>
          <w:b/>
          <w:bCs/>
          <w:color w:val="000000" w:themeColor="text1"/>
          <w:sz w:val="24"/>
          <w:szCs w:val="24"/>
        </w:rPr>
        <w:t xml:space="preserve"> DAC6 </w:t>
      </w:r>
      <w:r w:rsidR="00B835D3" w:rsidRPr="00FB6AA4">
        <w:rPr>
          <w:rFonts w:ascii="Calibri" w:hAnsi="Calibri" w:cs="Calibri"/>
          <w:b/>
          <w:bCs/>
          <w:color w:val="000000" w:themeColor="text1"/>
          <w:sz w:val="24"/>
          <w:szCs w:val="24"/>
        </w:rPr>
        <w:t>neměl</w:t>
      </w:r>
      <w:r w:rsidR="005635F1" w:rsidRPr="00FB6AA4">
        <w:rPr>
          <w:rFonts w:ascii="Calibri" w:hAnsi="Calibri" w:cs="Calibri"/>
          <w:b/>
          <w:bCs/>
          <w:color w:val="000000" w:themeColor="text1"/>
          <w:sz w:val="24"/>
          <w:szCs w:val="24"/>
        </w:rPr>
        <w:t>y</w:t>
      </w:r>
      <w:r w:rsidR="00B835D3" w:rsidRPr="00FB6AA4">
        <w:rPr>
          <w:rFonts w:ascii="Calibri" w:hAnsi="Calibri" w:cs="Calibri"/>
          <w:b/>
          <w:bCs/>
          <w:color w:val="000000" w:themeColor="text1"/>
          <w:sz w:val="24"/>
          <w:szCs w:val="24"/>
        </w:rPr>
        <w:t xml:space="preserve"> </w:t>
      </w:r>
      <w:r w:rsidR="00360E68" w:rsidRPr="00FB6AA4">
        <w:rPr>
          <w:rFonts w:ascii="Calibri" w:hAnsi="Calibri" w:cs="Calibri"/>
          <w:b/>
          <w:bCs/>
          <w:color w:val="000000" w:themeColor="text1"/>
          <w:sz w:val="24"/>
          <w:szCs w:val="24"/>
        </w:rPr>
        <w:t>významný</w:t>
      </w:r>
      <w:r w:rsidR="0055697D" w:rsidRPr="00FB6AA4">
        <w:rPr>
          <w:rFonts w:ascii="Calibri" w:hAnsi="Calibri" w:cs="Calibri"/>
          <w:b/>
          <w:bCs/>
          <w:color w:val="000000" w:themeColor="text1"/>
          <w:sz w:val="24"/>
          <w:szCs w:val="24"/>
        </w:rPr>
        <w:t xml:space="preserve"> vliv na</w:t>
      </w:r>
      <w:r w:rsidR="00AD08F5">
        <w:rPr>
          <w:rFonts w:ascii="Calibri" w:hAnsi="Calibri" w:cs="Calibri"/>
          <w:b/>
          <w:bCs/>
          <w:color w:val="000000" w:themeColor="text1"/>
          <w:sz w:val="24"/>
          <w:szCs w:val="24"/>
        </w:rPr>
        <w:t xml:space="preserve"> </w:t>
      </w:r>
      <w:r w:rsidR="007614C7" w:rsidRPr="00FB6AA4">
        <w:rPr>
          <w:rFonts w:ascii="Calibri" w:hAnsi="Calibri" w:cs="Calibri"/>
          <w:b/>
          <w:bCs/>
          <w:color w:val="000000" w:themeColor="text1"/>
          <w:sz w:val="24"/>
          <w:szCs w:val="24"/>
        </w:rPr>
        <w:t>efektivnost</w:t>
      </w:r>
      <w:r w:rsidRPr="00FB6AA4">
        <w:rPr>
          <w:rFonts w:ascii="Calibri" w:hAnsi="Calibri" w:cs="Calibri"/>
          <w:b/>
          <w:bCs/>
          <w:color w:val="000000" w:themeColor="text1"/>
          <w:sz w:val="24"/>
          <w:szCs w:val="24"/>
        </w:rPr>
        <w:t xml:space="preserve"> správy DPPO</w:t>
      </w:r>
    </w:p>
    <w:p w14:paraId="0C93194C" w14:textId="3FC22991" w:rsidR="005635F1" w:rsidRPr="00FB6AA4" w:rsidRDefault="005635F1" w:rsidP="00FB6AA4">
      <w:pPr>
        <w:jc w:val="both"/>
        <w:rPr>
          <w:rFonts w:ascii="Calibri" w:eastAsia="Calibri" w:hAnsi="Calibri" w:cs="Arial"/>
          <w:sz w:val="24"/>
          <w:szCs w:val="24"/>
        </w:rPr>
      </w:pPr>
      <w:r w:rsidRPr="00FB6AA4">
        <w:rPr>
          <w:sz w:val="24"/>
          <w:szCs w:val="24"/>
        </w:rPr>
        <w:t>Změny právních předpisů související s implementací směrnice ATAD nevyvolaly</w:t>
      </w:r>
      <w:r w:rsidRPr="00FB6AA4">
        <w:rPr>
          <w:rFonts w:ascii="Calibri" w:eastAsia="Calibri" w:hAnsi="Calibri" w:cs="Arial"/>
          <w:sz w:val="24"/>
          <w:szCs w:val="24"/>
        </w:rPr>
        <w:t xml:space="preserve"> zásadní změny v procesech a úkonech správy DPPO.</w:t>
      </w:r>
    </w:p>
    <w:p w14:paraId="4184EDF9" w14:textId="4706C42E" w:rsidR="0005479F" w:rsidRDefault="005635F1" w:rsidP="0005479F">
      <w:pPr>
        <w:spacing w:before="120" w:after="120"/>
        <w:jc w:val="both"/>
        <w:rPr>
          <w:rFonts w:ascii="Calibri" w:eastAsia="Calibri" w:hAnsi="Calibri" w:cs="Arial"/>
          <w:sz w:val="24"/>
          <w:szCs w:val="24"/>
        </w:rPr>
      </w:pPr>
      <w:r>
        <w:rPr>
          <w:rFonts w:cstheme="minorHAnsi"/>
          <w:sz w:val="24"/>
          <w:szCs w:val="24"/>
        </w:rPr>
        <w:t>Z</w:t>
      </w:r>
      <w:r w:rsidR="00281B34">
        <w:rPr>
          <w:rFonts w:cstheme="minorHAnsi"/>
          <w:sz w:val="24"/>
          <w:szCs w:val="24"/>
        </w:rPr>
        <w:t>pracování informací z oznámení DAC6</w:t>
      </w:r>
      <w:r w:rsidR="00C80B79">
        <w:rPr>
          <w:rFonts w:cstheme="minorHAnsi"/>
          <w:sz w:val="24"/>
          <w:szCs w:val="24"/>
        </w:rPr>
        <w:t xml:space="preserve"> </w:t>
      </w:r>
      <w:r>
        <w:rPr>
          <w:rFonts w:cstheme="minorHAnsi"/>
          <w:sz w:val="24"/>
          <w:szCs w:val="24"/>
        </w:rPr>
        <w:t xml:space="preserve">provádělo GFŘ ve většině případů </w:t>
      </w:r>
      <w:r w:rsidR="00C80B79">
        <w:rPr>
          <w:rFonts w:cstheme="minorHAnsi"/>
          <w:sz w:val="24"/>
          <w:szCs w:val="24"/>
        </w:rPr>
        <w:t>manuálně</w:t>
      </w:r>
      <w:r>
        <w:rPr>
          <w:rFonts w:cstheme="minorHAnsi"/>
          <w:sz w:val="24"/>
          <w:szCs w:val="24"/>
        </w:rPr>
        <w:t xml:space="preserve">. </w:t>
      </w:r>
      <w:r w:rsidR="00FB49C5">
        <w:rPr>
          <w:rFonts w:cstheme="minorHAnsi"/>
          <w:sz w:val="24"/>
          <w:szCs w:val="24"/>
        </w:rPr>
        <w:t xml:space="preserve">Do doby </w:t>
      </w:r>
      <w:r w:rsidR="008829FF">
        <w:rPr>
          <w:rFonts w:cstheme="minorHAnsi"/>
          <w:sz w:val="24"/>
          <w:szCs w:val="24"/>
        </w:rPr>
        <w:t xml:space="preserve">ukončení </w:t>
      </w:r>
      <w:r w:rsidR="00FB49C5">
        <w:rPr>
          <w:rFonts w:cstheme="minorHAnsi"/>
          <w:sz w:val="24"/>
          <w:szCs w:val="24"/>
        </w:rPr>
        <w:t>kontroly</w:t>
      </w:r>
      <w:r w:rsidR="0005479F">
        <w:rPr>
          <w:rFonts w:ascii="Calibri" w:eastAsia="Calibri" w:hAnsi="Calibri" w:cs="Arial"/>
          <w:sz w:val="24"/>
          <w:szCs w:val="24"/>
        </w:rPr>
        <w:t xml:space="preserve"> </w:t>
      </w:r>
      <w:r w:rsidR="00FB49C5">
        <w:rPr>
          <w:rFonts w:ascii="Calibri" w:eastAsia="Calibri" w:hAnsi="Calibri" w:cs="Arial"/>
          <w:sz w:val="24"/>
          <w:szCs w:val="24"/>
        </w:rPr>
        <w:t xml:space="preserve">nedošlo </w:t>
      </w:r>
      <w:r w:rsidR="0005479F">
        <w:rPr>
          <w:rFonts w:ascii="Calibri" w:eastAsia="Calibri" w:hAnsi="Calibri" w:cs="Arial"/>
          <w:sz w:val="24"/>
          <w:szCs w:val="24"/>
        </w:rPr>
        <w:t>k nahrazení ADIS</w:t>
      </w:r>
      <w:r w:rsidR="008829FF">
        <w:rPr>
          <w:rStyle w:val="Znakapoznpodarou"/>
          <w:rFonts w:ascii="Calibri" w:eastAsia="Calibri" w:hAnsi="Calibri" w:cs="Arial"/>
          <w:sz w:val="24"/>
          <w:szCs w:val="24"/>
        </w:rPr>
        <w:footnoteReference w:id="7"/>
      </w:r>
      <w:r w:rsidR="0005479F">
        <w:rPr>
          <w:rFonts w:ascii="Calibri" w:eastAsia="Calibri" w:hAnsi="Calibri" w:cs="Arial"/>
          <w:sz w:val="24"/>
          <w:szCs w:val="24"/>
        </w:rPr>
        <w:t xml:space="preserve"> novým informačním systémem, který by mj.</w:t>
      </w:r>
      <w:r w:rsidR="0005698C">
        <w:rPr>
          <w:rFonts w:ascii="Calibri" w:eastAsia="Calibri" w:hAnsi="Calibri" w:cs="Arial"/>
          <w:sz w:val="24"/>
          <w:szCs w:val="24"/>
        </w:rPr>
        <w:t> </w:t>
      </w:r>
      <w:r w:rsidR="0005479F">
        <w:rPr>
          <w:rFonts w:ascii="Calibri" w:eastAsia="Calibri" w:hAnsi="Calibri" w:cs="Arial"/>
          <w:sz w:val="24"/>
          <w:szCs w:val="24"/>
        </w:rPr>
        <w:t>umož</w:t>
      </w:r>
      <w:r w:rsidR="00FB23B0">
        <w:rPr>
          <w:rFonts w:ascii="Calibri" w:eastAsia="Calibri" w:hAnsi="Calibri" w:cs="Arial"/>
          <w:sz w:val="24"/>
          <w:szCs w:val="24"/>
        </w:rPr>
        <w:t>ň</w:t>
      </w:r>
      <w:r w:rsidR="0005479F">
        <w:rPr>
          <w:rFonts w:ascii="Calibri" w:eastAsia="Calibri" w:hAnsi="Calibri" w:cs="Arial"/>
          <w:sz w:val="24"/>
          <w:szCs w:val="24"/>
        </w:rPr>
        <w:t>oval automatizovan</w:t>
      </w:r>
      <w:r w:rsidR="007B1099">
        <w:rPr>
          <w:rFonts w:ascii="Calibri" w:eastAsia="Calibri" w:hAnsi="Calibri" w:cs="Arial"/>
          <w:sz w:val="24"/>
          <w:szCs w:val="24"/>
        </w:rPr>
        <w:t>é</w:t>
      </w:r>
      <w:r w:rsidR="0005479F">
        <w:rPr>
          <w:rFonts w:ascii="Calibri" w:eastAsia="Calibri" w:hAnsi="Calibri" w:cs="Arial"/>
          <w:sz w:val="24"/>
          <w:szCs w:val="24"/>
        </w:rPr>
        <w:t xml:space="preserve"> předávání informací z oznámení DAC6 místně příslušným správcům daně.</w:t>
      </w:r>
    </w:p>
    <w:p w14:paraId="23AA33B7" w14:textId="77777777" w:rsidR="00374C74" w:rsidRPr="00007A6C" w:rsidRDefault="00B3059F" w:rsidP="00A33DFD">
      <w:pPr>
        <w:pStyle w:val="Odstavecseseznamem"/>
        <w:numPr>
          <w:ilvl w:val="0"/>
          <w:numId w:val="30"/>
        </w:numPr>
        <w:spacing w:before="120" w:after="120"/>
        <w:ind w:left="284" w:hanging="284"/>
        <w:jc w:val="both"/>
        <w:rPr>
          <w:rFonts w:cstheme="minorHAnsi"/>
          <w:b/>
          <w:sz w:val="24"/>
          <w:szCs w:val="24"/>
        </w:rPr>
      </w:pPr>
      <w:r w:rsidRPr="00382C17">
        <w:rPr>
          <w:rFonts w:ascii="Calibri" w:hAnsi="Calibri" w:cs="Calibri"/>
          <w:b/>
          <w:sz w:val="24"/>
          <w:szCs w:val="24"/>
        </w:rPr>
        <w:t>GFŘ ne</w:t>
      </w:r>
      <w:r>
        <w:rPr>
          <w:rFonts w:ascii="Calibri" w:hAnsi="Calibri" w:cs="Calibri"/>
          <w:b/>
          <w:sz w:val="24"/>
          <w:szCs w:val="24"/>
        </w:rPr>
        <w:t xml:space="preserve">splnilo povinnost </w:t>
      </w:r>
      <w:r w:rsidRPr="00382C17">
        <w:rPr>
          <w:rFonts w:ascii="Calibri" w:hAnsi="Calibri" w:cs="Calibri"/>
          <w:b/>
          <w:sz w:val="24"/>
          <w:szCs w:val="24"/>
        </w:rPr>
        <w:t>vyčísl</w:t>
      </w:r>
      <w:r>
        <w:rPr>
          <w:rFonts w:ascii="Calibri" w:hAnsi="Calibri" w:cs="Calibri"/>
          <w:b/>
          <w:sz w:val="24"/>
          <w:szCs w:val="24"/>
        </w:rPr>
        <w:t>it</w:t>
      </w:r>
      <w:r w:rsidRPr="00382C17">
        <w:rPr>
          <w:rFonts w:ascii="Calibri" w:hAnsi="Calibri" w:cs="Calibri"/>
          <w:b/>
          <w:sz w:val="24"/>
          <w:szCs w:val="24"/>
        </w:rPr>
        <w:t xml:space="preserve"> náklad</w:t>
      </w:r>
      <w:r>
        <w:rPr>
          <w:rFonts w:ascii="Calibri" w:hAnsi="Calibri" w:cs="Calibri"/>
          <w:b/>
          <w:sz w:val="24"/>
          <w:szCs w:val="24"/>
        </w:rPr>
        <w:t>y</w:t>
      </w:r>
      <w:r w:rsidRPr="00382C17">
        <w:rPr>
          <w:rFonts w:ascii="Calibri" w:hAnsi="Calibri" w:cs="Calibri"/>
          <w:b/>
          <w:sz w:val="24"/>
          <w:szCs w:val="24"/>
        </w:rPr>
        <w:t xml:space="preserve"> spojen</w:t>
      </w:r>
      <w:r>
        <w:rPr>
          <w:rFonts w:ascii="Calibri" w:hAnsi="Calibri" w:cs="Calibri"/>
          <w:b/>
          <w:sz w:val="24"/>
          <w:szCs w:val="24"/>
        </w:rPr>
        <w:t>é</w:t>
      </w:r>
      <w:r w:rsidRPr="00382C17">
        <w:rPr>
          <w:rFonts w:ascii="Calibri" w:hAnsi="Calibri" w:cs="Calibri"/>
          <w:b/>
          <w:sz w:val="24"/>
          <w:szCs w:val="24"/>
        </w:rPr>
        <w:t xml:space="preserve"> s automatickou výměnou informací</w:t>
      </w:r>
      <w:r w:rsidRPr="00007A6C" w:rsidDel="00B3059F">
        <w:rPr>
          <w:rFonts w:cstheme="minorHAnsi"/>
          <w:b/>
          <w:sz w:val="24"/>
          <w:szCs w:val="24"/>
        </w:rPr>
        <w:t xml:space="preserve"> </w:t>
      </w:r>
    </w:p>
    <w:p w14:paraId="538EA72E" w14:textId="27F99159" w:rsidR="001208C8" w:rsidRDefault="00B33D66" w:rsidP="001C5AEA">
      <w:pPr>
        <w:spacing w:before="120" w:after="120"/>
        <w:jc w:val="both"/>
        <w:rPr>
          <w:rFonts w:ascii="Calibri" w:eastAsia="Calibri" w:hAnsi="Calibri" w:cs="Calibri"/>
          <w:sz w:val="24"/>
          <w:szCs w:val="24"/>
        </w:rPr>
      </w:pPr>
      <w:r w:rsidRPr="00AE18E1">
        <w:rPr>
          <w:rFonts w:cstheme="minorHAnsi"/>
          <w:sz w:val="24"/>
          <w:szCs w:val="24"/>
        </w:rPr>
        <w:t xml:space="preserve">GFŘ </w:t>
      </w:r>
      <w:r w:rsidR="0040477C" w:rsidRPr="00AE18E1">
        <w:rPr>
          <w:rFonts w:cstheme="minorHAnsi"/>
          <w:sz w:val="24"/>
          <w:szCs w:val="24"/>
        </w:rPr>
        <w:t xml:space="preserve">neposkytlo </w:t>
      </w:r>
      <w:r w:rsidR="00007A6C">
        <w:rPr>
          <w:rFonts w:cstheme="minorHAnsi"/>
          <w:sz w:val="24"/>
          <w:szCs w:val="24"/>
        </w:rPr>
        <w:t xml:space="preserve">Evropské </w:t>
      </w:r>
      <w:r w:rsidR="005E7390">
        <w:rPr>
          <w:rFonts w:cstheme="minorHAnsi"/>
          <w:sz w:val="24"/>
          <w:szCs w:val="24"/>
        </w:rPr>
        <w:t>komis</w:t>
      </w:r>
      <w:r w:rsidR="00A72973">
        <w:rPr>
          <w:rFonts w:cstheme="minorHAnsi"/>
          <w:sz w:val="24"/>
          <w:szCs w:val="24"/>
        </w:rPr>
        <w:t>i</w:t>
      </w:r>
      <w:r w:rsidR="005E7390">
        <w:rPr>
          <w:rFonts w:cstheme="minorHAnsi"/>
          <w:sz w:val="24"/>
          <w:szCs w:val="24"/>
        </w:rPr>
        <w:t xml:space="preserve"> (dále také </w:t>
      </w:r>
      <w:r w:rsidR="005E7390" w:rsidRPr="00AD08F5">
        <w:rPr>
          <w:rFonts w:cstheme="minorHAnsi"/>
          <w:sz w:val="24"/>
          <w:szCs w:val="24"/>
        </w:rPr>
        <w:t>„</w:t>
      </w:r>
      <w:r w:rsidR="0040477C" w:rsidRPr="00814652">
        <w:rPr>
          <w:rFonts w:cstheme="minorHAnsi"/>
          <w:sz w:val="24"/>
          <w:szCs w:val="24"/>
        </w:rPr>
        <w:t>EK</w:t>
      </w:r>
      <w:r w:rsidR="005E7390" w:rsidRPr="00AD08F5">
        <w:rPr>
          <w:rFonts w:cstheme="minorHAnsi"/>
          <w:sz w:val="24"/>
          <w:szCs w:val="24"/>
        </w:rPr>
        <w:t>“</w:t>
      </w:r>
      <w:r w:rsidR="005E7390">
        <w:rPr>
          <w:rFonts w:cstheme="minorHAnsi"/>
          <w:sz w:val="24"/>
          <w:szCs w:val="24"/>
        </w:rPr>
        <w:t>)</w:t>
      </w:r>
      <w:r w:rsidR="0040477C" w:rsidRPr="00AE18E1">
        <w:rPr>
          <w:rFonts w:cstheme="minorHAnsi"/>
          <w:sz w:val="24"/>
          <w:szCs w:val="24"/>
        </w:rPr>
        <w:t xml:space="preserve"> </w:t>
      </w:r>
      <w:r w:rsidR="002238CE">
        <w:rPr>
          <w:rFonts w:cstheme="minorHAnsi"/>
          <w:sz w:val="24"/>
          <w:szCs w:val="24"/>
        </w:rPr>
        <w:t>za rok</w:t>
      </w:r>
      <w:r w:rsidR="0040477C" w:rsidRPr="00AE18E1">
        <w:rPr>
          <w:rFonts w:cstheme="minorHAnsi"/>
          <w:sz w:val="24"/>
          <w:szCs w:val="24"/>
        </w:rPr>
        <w:t xml:space="preserve"> 2023</w:t>
      </w:r>
      <w:r w:rsidR="007A44EA">
        <w:rPr>
          <w:rFonts w:cstheme="minorHAnsi"/>
          <w:sz w:val="24"/>
          <w:szCs w:val="24"/>
        </w:rPr>
        <w:t xml:space="preserve"> povinné</w:t>
      </w:r>
      <w:r w:rsidR="0040477C" w:rsidRPr="00AE18E1">
        <w:rPr>
          <w:rFonts w:cstheme="minorHAnsi"/>
          <w:sz w:val="24"/>
          <w:szCs w:val="24"/>
        </w:rPr>
        <w:t xml:space="preserve"> informace o</w:t>
      </w:r>
      <w:r w:rsidR="002D6AF9">
        <w:rPr>
          <w:rFonts w:cstheme="minorHAnsi"/>
          <w:sz w:val="24"/>
          <w:szCs w:val="24"/>
        </w:rPr>
        <w:t> </w:t>
      </w:r>
      <w:r w:rsidR="0040477C" w:rsidRPr="00AE18E1">
        <w:rPr>
          <w:rFonts w:cstheme="minorHAnsi"/>
          <w:sz w:val="24"/>
          <w:szCs w:val="24"/>
        </w:rPr>
        <w:t xml:space="preserve">administrativních nákladech vynaložených </w:t>
      </w:r>
      <w:r w:rsidR="00302EA5">
        <w:rPr>
          <w:rFonts w:cstheme="minorHAnsi"/>
          <w:sz w:val="24"/>
          <w:szCs w:val="24"/>
        </w:rPr>
        <w:t xml:space="preserve">v souvislosti </w:t>
      </w:r>
      <w:r w:rsidR="0040477C" w:rsidRPr="00AE18E1">
        <w:rPr>
          <w:rFonts w:cstheme="minorHAnsi"/>
          <w:sz w:val="24"/>
          <w:szCs w:val="24"/>
        </w:rPr>
        <w:t>s</w:t>
      </w:r>
      <w:r w:rsidR="009C65A6">
        <w:rPr>
          <w:rFonts w:cstheme="minorHAnsi"/>
          <w:sz w:val="24"/>
          <w:szCs w:val="24"/>
        </w:rPr>
        <w:t> </w:t>
      </w:r>
      <w:r w:rsidR="0040477C" w:rsidRPr="00AE18E1">
        <w:rPr>
          <w:rFonts w:cstheme="minorHAnsi"/>
          <w:sz w:val="24"/>
          <w:szCs w:val="24"/>
        </w:rPr>
        <w:t>automatickou výměnou informací</w:t>
      </w:r>
      <w:r w:rsidR="00AD08F5">
        <w:rPr>
          <w:rFonts w:cstheme="minorHAnsi"/>
          <w:sz w:val="24"/>
          <w:szCs w:val="24"/>
        </w:rPr>
        <w:t>,</w:t>
      </w:r>
      <w:r w:rsidR="0040477C">
        <w:rPr>
          <w:rFonts w:cstheme="minorHAnsi"/>
          <w:sz w:val="24"/>
          <w:szCs w:val="24"/>
        </w:rPr>
        <w:t xml:space="preserve"> a </w:t>
      </w:r>
      <w:r w:rsidRPr="00AE18E1">
        <w:rPr>
          <w:rFonts w:cstheme="minorHAnsi"/>
          <w:sz w:val="24"/>
          <w:szCs w:val="24"/>
        </w:rPr>
        <w:t>postupovalo</w:t>
      </w:r>
      <w:r w:rsidR="0040477C">
        <w:rPr>
          <w:rFonts w:cstheme="minorHAnsi"/>
          <w:sz w:val="24"/>
          <w:szCs w:val="24"/>
        </w:rPr>
        <w:t xml:space="preserve"> tak</w:t>
      </w:r>
      <w:r w:rsidRPr="00AE18E1">
        <w:rPr>
          <w:rFonts w:cstheme="minorHAnsi"/>
          <w:sz w:val="24"/>
          <w:szCs w:val="24"/>
        </w:rPr>
        <w:t xml:space="preserve"> v rozporu s ustanovením § 12c</w:t>
      </w:r>
      <w:r w:rsidR="00401CD3">
        <w:rPr>
          <w:rFonts w:cstheme="minorHAnsi"/>
          <w:sz w:val="24"/>
          <w:szCs w:val="24"/>
        </w:rPr>
        <w:t xml:space="preserve"> odst. 2</w:t>
      </w:r>
      <w:r w:rsidRPr="00AE18E1">
        <w:rPr>
          <w:rFonts w:cstheme="minorHAnsi"/>
          <w:sz w:val="24"/>
          <w:szCs w:val="24"/>
        </w:rPr>
        <w:t xml:space="preserve"> zákona č.</w:t>
      </w:r>
      <w:r w:rsidR="009C65A6">
        <w:rPr>
          <w:rFonts w:cstheme="minorHAnsi"/>
          <w:sz w:val="24"/>
          <w:szCs w:val="24"/>
        </w:rPr>
        <w:t> </w:t>
      </w:r>
      <w:r w:rsidRPr="00AE18E1">
        <w:rPr>
          <w:rFonts w:cstheme="minorHAnsi"/>
          <w:sz w:val="24"/>
          <w:szCs w:val="24"/>
        </w:rPr>
        <w:t>164/2013 Sb.</w:t>
      </w:r>
      <w:r w:rsidR="00EE1BC8">
        <w:rPr>
          <w:rStyle w:val="Znakapoznpodarou"/>
          <w:rFonts w:cstheme="minorHAnsi"/>
          <w:sz w:val="24"/>
          <w:szCs w:val="24"/>
        </w:rPr>
        <w:footnoteReference w:id="8"/>
      </w:r>
    </w:p>
    <w:p w14:paraId="22B0764A" w14:textId="57582F63" w:rsidR="00666949" w:rsidRPr="001A21D5" w:rsidRDefault="00C01B9F" w:rsidP="00B70044">
      <w:pPr>
        <w:pStyle w:val="Odstavecseseznamem"/>
        <w:numPr>
          <w:ilvl w:val="0"/>
          <w:numId w:val="30"/>
        </w:numPr>
        <w:spacing w:before="120" w:after="120"/>
        <w:ind w:left="284" w:hanging="284"/>
        <w:contextualSpacing w:val="0"/>
        <w:jc w:val="both"/>
        <w:rPr>
          <w:rFonts w:ascii="Calibri" w:eastAsia="Calibri" w:hAnsi="Calibri" w:cs="Calibri"/>
          <w:b/>
          <w:sz w:val="24"/>
          <w:szCs w:val="24"/>
        </w:rPr>
      </w:pPr>
      <w:r>
        <w:rPr>
          <w:rFonts w:eastAsia="Calibri" w:cstheme="minorHAnsi"/>
          <w:b/>
          <w:sz w:val="24"/>
          <w:szCs w:val="24"/>
        </w:rPr>
        <w:t>Nedostatky zjištěné v oblasti elektronizace správy daní</w:t>
      </w:r>
    </w:p>
    <w:p w14:paraId="66B6C1E8" w14:textId="6508F961" w:rsidR="00955A43" w:rsidRPr="00CB4887" w:rsidRDefault="00D74C48" w:rsidP="00CB4887">
      <w:pPr>
        <w:pStyle w:val="Odstavecseseznamem"/>
        <w:numPr>
          <w:ilvl w:val="0"/>
          <w:numId w:val="50"/>
        </w:numPr>
        <w:spacing w:after="0"/>
        <w:ind w:left="284" w:hanging="284"/>
        <w:jc w:val="both"/>
        <w:rPr>
          <w:sz w:val="24"/>
          <w:szCs w:val="24"/>
        </w:rPr>
      </w:pPr>
      <w:r>
        <w:rPr>
          <w:sz w:val="24"/>
          <w:szCs w:val="24"/>
        </w:rPr>
        <w:t xml:space="preserve">GFŘ nenaplnilo strategický cíl rozvoje FS ČR ohledně plně elektronického spisu tím, že </w:t>
      </w:r>
      <w:r w:rsidR="001566CE" w:rsidRPr="001A21D5">
        <w:rPr>
          <w:sz w:val="24"/>
          <w:szCs w:val="24"/>
        </w:rPr>
        <w:t>zaměstnanc</w:t>
      </w:r>
      <w:r>
        <w:rPr>
          <w:sz w:val="24"/>
          <w:szCs w:val="24"/>
        </w:rPr>
        <w:t>i</w:t>
      </w:r>
      <w:r w:rsidR="001566CE" w:rsidRPr="001A21D5">
        <w:rPr>
          <w:sz w:val="24"/>
          <w:szCs w:val="24"/>
        </w:rPr>
        <w:t xml:space="preserve"> </w:t>
      </w:r>
      <w:r w:rsidR="001566CE">
        <w:rPr>
          <w:sz w:val="24"/>
          <w:szCs w:val="24"/>
        </w:rPr>
        <w:t>prováděli činnosti související s </w:t>
      </w:r>
      <w:r w:rsidR="001566CE" w:rsidRPr="001A21D5">
        <w:rPr>
          <w:sz w:val="24"/>
          <w:szCs w:val="24"/>
        </w:rPr>
        <w:t>přemisťov</w:t>
      </w:r>
      <w:r w:rsidR="001566CE">
        <w:rPr>
          <w:sz w:val="24"/>
          <w:szCs w:val="24"/>
        </w:rPr>
        <w:t>áním</w:t>
      </w:r>
      <w:r w:rsidR="001566CE" w:rsidRPr="001A21D5">
        <w:rPr>
          <w:sz w:val="24"/>
          <w:szCs w:val="24"/>
        </w:rPr>
        <w:t xml:space="preserve"> spisov</w:t>
      </w:r>
      <w:r w:rsidR="001566CE">
        <w:rPr>
          <w:sz w:val="24"/>
          <w:szCs w:val="24"/>
        </w:rPr>
        <w:t>é</w:t>
      </w:r>
      <w:r w:rsidR="001566CE" w:rsidRPr="001A21D5">
        <w:rPr>
          <w:sz w:val="24"/>
          <w:szCs w:val="24"/>
        </w:rPr>
        <w:t xml:space="preserve"> dokumentac</w:t>
      </w:r>
      <w:r w:rsidR="001566CE">
        <w:rPr>
          <w:sz w:val="24"/>
          <w:szCs w:val="24"/>
        </w:rPr>
        <w:t>e</w:t>
      </w:r>
      <w:r w:rsidR="001566CE" w:rsidRPr="001A21D5">
        <w:rPr>
          <w:sz w:val="24"/>
          <w:szCs w:val="24"/>
        </w:rPr>
        <w:t xml:space="preserve"> v listinné podobě</w:t>
      </w:r>
      <w:r>
        <w:rPr>
          <w:sz w:val="24"/>
          <w:szCs w:val="24"/>
        </w:rPr>
        <w:t>. D</w:t>
      </w:r>
      <w:r w:rsidR="00AC23D9">
        <w:rPr>
          <w:sz w:val="24"/>
          <w:szCs w:val="24"/>
        </w:rPr>
        <w:t>o</w:t>
      </w:r>
      <w:r w:rsidR="008829FF">
        <w:rPr>
          <w:sz w:val="24"/>
          <w:szCs w:val="24"/>
        </w:rPr>
        <w:t xml:space="preserve"> doby ukončení kontroly</w:t>
      </w:r>
      <w:r w:rsidR="00DC326D">
        <w:rPr>
          <w:sz w:val="24"/>
          <w:szCs w:val="24"/>
        </w:rPr>
        <w:t xml:space="preserve"> nedošlo k nahrazení ADIS novým </w:t>
      </w:r>
      <w:r w:rsidR="005D2953">
        <w:rPr>
          <w:sz w:val="24"/>
          <w:szCs w:val="24"/>
        </w:rPr>
        <w:t xml:space="preserve">informačním </w:t>
      </w:r>
      <w:r w:rsidR="00DC326D">
        <w:rPr>
          <w:sz w:val="24"/>
          <w:szCs w:val="24"/>
        </w:rPr>
        <w:t>systémem, který by</w:t>
      </w:r>
      <w:r w:rsidR="00CB4887">
        <w:rPr>
          <w:sz w:val="24"/>
          <w:szCs w:val="24"/>
        </w:rPr>
        <w:t xml:space="preserve"> automatizovaně umožňoval převedení dokumentu v listinné podobě do elektronické podoby s právními účinky</w:t>
      </w:r>
      <w:r w:rsidR="00842047">
        <w:rPr>
          <w:sz w:val="24"/>
          <w:szCs w:val="24"/>
        </w:rPr>
        <w:t xml:space="preserve"> ori</w:t>
      </w:r>
      <w:r w:rsidR="002F1BA8">
        <w:rPr>
          <w:sz w:val="24"/>
          <w:szCs w:val="24"/>
        </w:rPr>
        <w:t>gi</w:t>
      </w:r>
      <w:r w:rsidR="00842047">
        <w:rPr>
          <w:sz w:val="24"/>
          <w:szCs w:val="24"/>
        </w:rPr>
        <w:t>nálu</w:t>
      </w:r>
      <w:r w:rsidR="001566CE" w:rsidRPr="001A21D5">
        <w:rPr>
          <w:sz w:val="24"/>
          <w:szCs w:val="24"/>
        </w:rPr>
        <w:t>;</w:t>
      </w:r>
    </w:p>
    <w:p w14:paraId="2CD5E66C" w14:textId="448C7D0D" w:rsidR="00D74C48" w:rsidRPr="004E1F09" w:rsidRDefault="001566CE" w:rsidP="001A21D5">
      <w:pPr>
        <w:pStyle w:val="Odstavecseseznamem"/>
        <w:numPr>
          <w:ilvl w:val="0"/>
          <w:numId w:val="50"/>
        </w:numPr>
        <w:ind w:left="284" w:hanging="284"/>
        <w:jc w:val="both"/>
        <w:rPr>
          <w:rFonts w:ascii="Calibri" w:eastAsia="Calibri" w:hAnsi="Calibri" w:cs="Calibri"/>
          <w:sz w:val="24"/>
          <w:szCs w:val="24"/>
        </w:rPr>
      </w:pPr>
      <w:r w:rsidRPr="001A21D5">
        <w:rPr>
          <w:sz w:val="24"/>
          <w:szCs w:val="24"/>
        </w:rPr>
        <w:t>GFŘ</w:t>
      </w:r>
      <w:r w:rsidR="00D74C48">
        <w:rPr>
          <w:sz w:val="24"/>
          <w:szCs w:val="24"/>
        </w:rPr>
        <w:t xml:space="preserve"> neupravilo postup správců daně při postoupení spisů na </w:t>
      </w:r>
      <w:r w:rsidR="00D74C48" w:rsidRPr="001A21D5">
        <w:rPr>
          <w:sz w:val="24"/>
          <w:szCs w:val="24"/>
        </w:rPr>
        <w:t xml:space="preserve">Odvolací finanční ředitelství (dále také </w:t>
      </w:r>
      <w:r w:rsidR="00D74C48" w:rsidRPr="00AD08F5">
        <w:rPr>
          <w:sz w:val="24"/>
          <w:szCs w:val="24"/>
        </w:rPr>
        <w:t>„</w:t>
      </w:r>
      <w:r w:rsidR="00D74C48" w:rsidRPr="00814652">
        <w:rPr>
          <w:sz w:val="24"/>
          <w:szCs w:val="24"/>
        </w:rPr>
        <w:t>OFŘ“</w:t>
      </w:r>
      <w:r w:rsidR="00D74C48" w:rsidRPr="001A21D5">
        <w:rPr>
          <w:sz w:val="24"/>
          <w:szCs w:val="24"/>
        </w:rPr>
        <w:t xml:space="preserve">) </w:t>
      </w:r>
      <w:r w:rsidR="00D74C48">
        <w:rPr>
          <w:sz w:val="24"/>
          <w:szCs w:val="24"/>
        </w:rPr>
        <w:t>tak, aby nedocházelo k předávání daňových spisů v listinné podobě, přestože tyto spisy byly k dispozici v elektronické podobě.</w:t>
      </w:r>
    </w:p>
    <w:p w14:paraId="5CA62CB8" w14:textId="77777777" w:rsidR="004E1F09" w:rsidRPr="00D74C48" w:rsidRDefault="004E1F09" w:rsidP="003E7FAE">
      <w:pPr>
        <w:pStyle w:val="Odstavecseseznamem"/>
        <w:ind w:left="0"/>
        <w:jc w:val="both"/>
        <w:rPr>
          <w:rFonts w:ascii="Calibri" w:eastAsia="Calibri" w:hAnsi="Calibri" w:cs="Calibri"/>
          <w:sz w:val="24"/>
          <w:szCs w:val="24"/>
        </w:rPr>
      </w:pPr>
    </w:p>
    <w:p w14:paraId="03C13A8B" w14:textId="77777777" w:rsidR="00B53558" w:rsidRDefault="0093232C" w:rsidP="003E7FAE">
      <w:pPr>
        <w:pStyle w:val="Nadpis1"/>
        <w:numPr>
          <w:ilvl w:val="0"/>
          <w:numId w:val="0"/>
        </w:numPr>
        <w:spacing w:after="240" w:line="259" w:lineRule="auto"/>
        <w:rPr>
          <w:sz w:val="28"/>
          <w:szCs w:val="28"/>
        </w:rPr>
      </w:pPr>
      <w:r w:rsidRPr="009A5B8E">
        <w:rPr>
          <w:sz w:val="28"/>
          <w:szCs w:val="28"/>
        </w:rPr>
        <w:t>II. Informace o kontrolované oblasti</w:t>
      </w:r>
    </w:p>
    <w:p w14:paraId="26EFA6A3" w14:textId="71642A0D" w:rsidR="00346A32" w:rsidRDefault="00C366C0" w:rsidP="002B5376">
      <w:pPr>
        <w:spacing w:before="120" w:after="120"/>
        <w:jc w:val="both"/>
        <w:rPr>
          <w:rFonts w:cstheme="minorHAnsi"/>
          <w:sz w:val="24"/>
          <w:szCs w:val="24"/>
        </w:rPr>
      </w:pPr>
      <w:bookmarkStart w:id="1" w:name="_Hlk152533953"/>
      <w:r>
        <w:rPr>
          <w:rFonts w:cstheme="minorHAnsi"/>
          <w:bCs/>
          <w:sz w:val="24"/>
          <w:szCs w:val="24"/>
        </w:rPr>
        <w:t>DPPO</w:t>
      </w:r>
      <w:r w:rsidR="00154C14">
        <w:rPr>
          <w:rFonts w:cstheme="minorHAnsi"/>
          <w:bCs/>
          <w:sz w:val="24"/>
          <w:szCs w:val="24"/>
        </w:rPr>
        <w:t xml:space="preserve"> </w:t>
      </w:r>
      <w:r w:rsidR="002B5376" w:rsidRPr="002B5376">
        <w:rPr>
          <w:rFonts w:cstheme="minorHAnsi"/>
          <w:sz w:val="24"/>
          <w:szCs w:val="24"/>
        </w:rPr>
        <w:t>je daní přímou, upravenou společně s daní z příjmů fyzických osob zákonem</w:t>
      </w:r>
      <w:r w:rsidR="001F3F3E">
        <w:rPr>
          <w:rFonts w:cstheme="minorHAnsi"/>
          <w:sz w:val="24"/>
          <w:szCs w:val="24"/>
        </w:rPr>
        <w:t xml:space="preserve"> </w:t>
      </w:r>
      <w:r w:rsidR="00E02AAC">
        <w:rPr>
          <w:rFonts w:cstheme="minorHAnsi"/>
          <w:sz w:val="24"/>
          <w:szCs w:val="24"/>
        </w:rPr>
        <w:t>o daních z</w:t>
      </w:r>
      <w:r w:rsidR="002D6AF9">
        <w:rPr>
          <w:rFonts w:cstheme="minorHAnsi"/>
          <w:sz w:val="24"/>
          <w:szCs w:val="24"/>
        </w:rPr>
        <w:t> </w:t>
      </w:r>
      <w:r w:rsidR="00E02AAC">
        <w:rPr>
          <w:rFonts w:cstheme="minorHAnsi"/>
          <w:sz w:val="24"/>
          <w:szCs w:val="24"/>
        </w:rPr>
        <w:t>příjmů</w:t>
      </w:r>
      <w:r w:rsidR="002B5376" w:rsidRPr="002B5376">
        <w:rPr>
          <w:rFonts w:cstheme="minorHAnsi"/>
          <w:sz w:val="24"/>
          <w:szCs w:val="24"/>
        </w:rPr>
        <w:t>.</w:t>
      </w:r>
      <w:r w:rsidR="00DE6DC4">
        <w:rPr>
          <w:rFonts w:cstheme="minorHAnsi"/>
          <w:sz w:val="24"/>
          <w:szCs w:val="24"/>
        </w:rPr>
        <w:t xml:space="preserve"> </w:t>
      </w:r>
      <w:r w:rsidR="00DE6DC4" w:rsidRPr="00F72FF8">
        <w:rPr>
          <w:rFonts w:cstheme="minorHAnsi"/>
          <w:sz w:val="24"/>
          <w:szCs w:val="24"/>
        </w:rPr>
        <w:t>Předmětem daně jsou příjmy z veškeré činnosti a z nakládání s veškerým majetkem,</w:t>
      </w:r>
      <w:r w:rsidR="009F0AEA">
        <w:rPr>
          <w:rFonts w:cstheme="minorHAnsi"/>
          <w:sz w:val="24"/>
          <w:szCs w:val="24"/>
        </w:rPr>
        <w:t xml:space="preserve"> </w:t>
      </w:r>
      <w:r w:rsidR="00DE6DC4" w:rsidRPr="00F72FF8">
        <w:rPr>
          <w:rFonts w:cstheme="minorHAnsi"/>
          <w:sz w:val="24"/>
          <w:szCs w:val="24"/>
        </w:rPr>
        <w:t xml:space="preserve">není-li </w:t>
      </w:r>
      <w:r w:rsidR="00DE6DC4">
        <w:rPr>
          <w:rFonts w:cstheme="minorHAnsi"/>
          <w:sz w:val="24"/>
          <w:szCs w:val="24"/>
        </w:rPr>
        <w:t>tímto zákonem</w:t>
      </w:r>
      <w:r w:rsidR="00DE6DC4" w:rsidRPr="00F72FF8">
        <w:rPr>
          <w:rFonts w:cstheme="minorHAnsi"/>
          <w:sz w:val="24"/>
          <w:szCs w:val="24"/>
        </w:rPr>
        <w:t xml:space="preserve"> stanoveno jinak.</w:t>
      </w:r>
      <w:r w:rsidR="00DE6DC4">
        <w:rPr>
          <w:rFonts w:cstheme="minorHAnsi"/>
          <w:sz w:val="24"/>
          <w:szCs w:val="24"/>
        </w:rPr>
        <w:t xml:space="preserve"> </w:t>
      </w:r>
      <w:r w:rsidR="002B5376" w:rsidRPr="002B5376">
        <w:rPr>
          <w:rFonts w:cstheme="minorHAnsi"/>
          <w:sz w:val="24"/>
          <w:szCs w:val="24"/>
        </w:rPr>
        <w:t xml:space="preserve">DPPO je daní sdílenou dle zákona </w:t>
      </w:r>
      <w:r w:rsidR="003F4CD2" w:rsidRPr="003F4CD2">
        <w:rPr>
          <w:rFonts w:cstheme="minorHAnsi"/>
          <w:sz w:val="24"/>
          <w:szCs w:val="24"/>
        </w:rPr>
        <w:t>č.</w:t>
      </w:r>
      <w:r w:rsidR="003F4CD2">
        <w:rPr>
          <w:rFonts w:cstheme="minorHAnsi"/>
          <w:sz w:val="24"/>
          <w:szCs w:val="24"/>
        </w:rPr>
        <w:t> </w:t>
      </w:r>
      <w:r w:rsidR="003F4CD2" w:rsidRPr="003F4CD2">
        <w:rPr>
          <w:rFonts w:cstheme="minorHAnsi"/>
          <w:sz w:val="24"/>
          <w:szCs w:val="24"/>
        </w:rPr>
        <w:t>243/2000</w:t>
      </w:r>
      <w:r w:rsidR="00A6014E">
        <w:rPr>
          <w:rFonts w:cstheme="minorHAnsi"/>
          <w:sz w:val="24"/>
          <w:szCs w:val="24"/>
        </w:rPr>
        <w:t xml:space="preserve"> </w:t>
      </w:r>
      <w:r w:rsidR="003F4CD2" w:rsidRPr="003F4CD2">
        <w:rPr>
          <w:rFonts w:cstheme="minorHAnsi"/>
          <w:sz w:val="24"/>
          <w:szCs w:val="24"/>
        </w:rPr>
        <w:t>Sb.</w:t>
      </w:r>
      <w:r w:rsidR="000426DE">
        <w:rPr>
          <w:rStyle w:val="Znakapoznpodarou"/>
          <w:rFonts w:cstheme="minorHAnsi"/>
          <w:sz w:val="24"/>
          <w:szCs w:val="24"/>
        </w:rPr>
        <w:footnoteReference w:id="9"/>
      </w:r>
      <w:r w:rsidR="003F4CD2" w:rsidRPr="003F4CD2">
        <w:rPr>
          <w:rFonts w:cstheme="minorHAnsi"/>
          <w:sz w:val="24"/>
          <w:szCs w:val="24"/>
        </w:rPr>
        <w:t>, který stanovuje poměr rozdělení výnosu daně mezi státní rozpočet a</w:t>
      </w:r>
      <w:r w:rsidR="009F0AEA">
        <w:rPr>
          <w:rFonts w:cstheme="minorHAnsi"/>
          <w:sz w:val="24"/>
          <w:szCs w:val="24"/>
        </w:rPr>
        <w:t> </w:t>
      </w:r>
      <w:r w:rsidR="003F4CD2" w:rsidRPr="003F4CD2">
        <w:rPr>
          <w:rFonts w:cstheme="minorHAnsi"/>
          <w:sz w:val="24"/>
          <w:szCs w:val="24"/>
        </w:rPr>
        <w:t>rozpočty územn</w:t>
      </w:r>
      <w:r w:rsidR="00AF5DA1">
        <w:rPr>
          <w:rFonts w:cstheme="minorHAnsi"/>
          <w:sz w:val="24"/>
          <w:szCs w:val="24"/>
        </w:rPr>
        <w:t>ě samosprávných celků</w:t>
      </w:r>
      <w:r w:rsidR="003F4CD2" w:rsidRPr="003F4CD2">
        <w:rPr>
          <w:rFonts w:cstheme="minorHAnsi"/>
          <w:sz w:val="24"/>
          <w:szCs w:val="24"/>
        </w:rPr>
        <w:t>.</w:t>
      </w:r>
    </w:p>
    <w:p w14:paraId="2AAE31EE" w14:textId="77777777" w:rsidR="00346A32" w:rsidRDefault="00346A32">
      <w:pPr>
        <w:rPr>
          <w:rFonts w:cstheme="minorHAnsi"/>
          <w:sz w:val="24"/>
          <w:szCs w:val="24"/>
        </w:rPr>
      </w:pPr>
      <w:r>
        <w:rPr>
          <w:rFonts w:cstheme="minorHAnsi"/>
          <w:sz w:val="24"/>
          <w:szCs w:val="24"/>
        </w:rPr>
        <w:br w:type="page"/>
      </w:r>
    </w:p>
    <w:bookmarkEnd w:id="1"/>
    <w:p w14:paraId="4E91A254" w14:textId="525CCB6A" w:rsidR="00A16AA1" w:rsidRPr="009D46A0" w:rsidRDefault="00A16AA1" w:rsidP="000651A8">
      <w:pPr>
        <w:tabs>
          <w:tab w:val="right" w:pos="9071"/>
        </w:tabs>
        <w:spacing w:before="120" w:after="40" w:line="240" w:lineRule="auto"/>
        <w:jc w:val="both"/>
        <w:rPr>
          <w:rFonts w:ascii="Calibri" w:hAnsi="Calibri" w:cs="Calibri"/>
          <w:color w:val="000000"/>
          <w:sz w:val="24"/>
          <w:szCs w:val="24"/>
        </w:rPr>
      </w:pPr>
      <w:r w:rsidRPr="009D46A0">
        <w:rPr>
          <w:rFonts w:cstheme="minorHAnsi"/>
          <w:b/>
          <w:color w:val="000000"/>
          <w:sz w:val="24"/>
          <w:szCs w:val="24"/>
          <w:lang w:eastAsia="cs-CZ" w:bidi="cs-CZ"/>
        </w:rPr>
        <w:t>Tabulka č. 1</w:t>
      </w:r>
      <w:r w:rsidR="000651A8">
        <w:rPr>
          <w:rFonts w:cstheme="minorHAnsi"/>
          <w:b/>
          <w:color w:val="000000"/>
          <w:sz w:val="24"/>
          <w:szCs w:val="24"/>
          <w:lang w:eastAsia="cs-CZ" w:bidi="cs-CZ"/>
        </w:rPr>
        <w:t>:</w:t>
      </w:r>
      <w:r>
        <w:rPr>
          <w:rFonts w:cstheme="minorHAnsi"/>
          <w:b/>
          <w:color w:val="000000"/>
          <w:sz w:val="24"/>
          <w:szCs w:val="24"/>
          <w:lang w:eastAsia="cs-CZ" w:bidi="cs-CZ"/>
        </w:rPr>
        <w:t xml:space="preserve"> </w:t>
      </w:r>
      <w:r w:rsidRPr="009D46A0">
        <w:rPr>
          <w:rFonts w:cstheme="minorHAnsi"/>
          <w:b/>
          <w:color w:val="000000"/>
          <w:sz w:val="24"/>
          <w:szCs w:val="24"/>
          <w:lang w:eastAsia="cs-CZ" w:bidi="cs-CZ"/>
        </w:rPr>
        <w:t>Inkaso DPPO v letech 2018 až 202</w:t>
      </w:r>
      <w:r>
        <w:rPr>
          <w:rFonts w:cstheme="minorHAnsi"/>
          <w:b/>
          <w:color w:val="000000"/>
          <w:sz w:val="24"/>
          <w:szCs w:val="24"/>
          <w:lang w:eastAsia="cs-CZ" w:bidi="cs-CZ"/>
        </w:rPr>
        <w:t>2</w:t>
      </w:r>
      <w:r w:rsidRPr="009D46A0">
        <w:rPr>
          <w:rFonts w:cstheme="minorHAnsi"/>
          <w:b/>
          <w:color w:val="000000"/>
          <w:sz w:val="24"/>
          <w:szCs w:val="24"/>
          <w:lang w:eastAsia="cs-CZ" w:bidi="cs-CZ"/>
        </w:rPr>
        <w:t xml:space="preserve"> </w:t>
      </w:r>
      <w:r w:rsidR="000651A8">
        <w:rPr>
          <w:rFonts w:cstheme="minorHAnsi"/>
          <w:b/>
          <w:color w:val="000000"/>
          <w:sz w:val="24"/>
          <w:szCs w:val="24"/>
          <w:lang w:eastAsia="cs-CZ" w:bidi="cs-CZ"/>
        </w:rPr>
        <w:tab/>
        <w:t>(</w:t>
      </w:r>
      <w:r w:rsidRPr="009D46A0">
        <w:rPr>
          <w:rFonts w:cstheme="minorHAnsi"/>
          <w:b/>
          <w:color w:val="000000"/>
          <w:sz w:val="24"/>
          <w:szCs w:val="24"/>
          <w:lang w:eastAsia="cs-CZ" w:bidi="cs-CZ"/>
        </w:rPr>
        <w:t>v mil. Kč</w:t>
      </w:r>
      <w:r w:rsidR="000651A8">
        <w:rPr>
          <w:rFonts w:cstheme="minorHAnsi"/>
          <w:b/>
          <w:color w:val="000000"/>
          <w:sz w:val="24"/>
          <w:szCs w:val="24"/>
          <w:lang w:eastAsia="cs-CZ" w:bidi="cs-CZ"/>
        </w:rPr>
        <w:t>)</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3"/>
        <w:gridCol w:w="964"/>
        <w:gridCol w:w="964"/>
        <w:gridCol w:w="964"/>
        <w:gridCol w:w="964"/>
        <w:gridCol w:w="964"/>
      </w:tblGrid>
      <w:tr w:rsidR="005257FF" w:rsidRPr="000651A8" w14:paraId="67F2FF95" w14:textId="77777777" w:rsidTr="005A1206">
        <w:trPr>
          <w:trHeight w:val="255"/>
        </w:trPr>
        <w:tc>
          <w:tcPr>
            <w:tcW w:w="4243" w:type="dxa"/>
            <w:shd w:val="clear" w:color="000000" w:fill="E2F1EE"/>
            <w:noWrap/>
            <w:vAlign w:val="center"/>
            <w:hideMark/>
          </w:tcPr>
          <w:p w14:paraId="440D572B" w14:textId="77777777" w:rsidR="00A16AA1" w:rsidRPr="000651A8" w:rsidRDefault="00A16AA1" w:rsidP="001341AE">
            <w:pPr>
              <w:spacing w:after="0" w:line="240" w:lineRule="auto"/>
              <w:rPr>
                <w:rFonts w:ascii="Calibri" w:eastAsia="Times New Roman" w:hAnsi="Calibri" w:cs="Calibri"/>
                <w:b/>
                <w:bCs/>
                <w:color w:val="000000"/>
                <w:sz w:val="20"/>
                <w:szCs w:val="20"/>
                <w:lang w:eastAsia="cs-CZ"/>
              </w:rPr>
            </w:pPr>
            <w:r w:rsidRPr="000651A8">
              <w:rPr>
                <w:rFonts w:ascii="Calibri" w:eastAsia="Times New Roman" w:hAnsi="Calibri" w:cs="Calibri"/>
                <w:b/>
                <w:bCs/>
                <w:color w:val="000000"/>
                <w:sz w:val="20"/>
                <w:szCs w:val="20"/>
                <w:lang w:eastAsia="cs-CZ"/>
              </w:rPr>
              <w:t> </w:t>
            </w:r>
          </w:p>
        </w:tc>
        <w:tc>
          <w:tcPr>
            <w:tcW w:w="964" w:type="dxa"/>
            <w:shd w:val="clear" w:color="000000" w:fill="E2F1EE"/>
            <w:vAlign w:val="center"/>
            <w:hideMark/>
          </w:tcPr>
          <w:p w14:paraId="4ED5E09D" w14:textId="77777777" w:rsidR="00A16AA1" w:rsidRPr="000651A8" w:rsidRDefault="00A16AA1" w:rsidP="001341AE">
            <w:pPr>
              <w:spacing w:after="0" w:line="240" w:lineRule="auto"/>
              <w:jc w:val="center"/>
              <w:rPr>
                <w:rFonts w:ascii="Calibri" w:eastAsia="Times New Roman" w:hAnsi="Calibri" w:cs="Calibri"/>
                <w:b/>
                <w:bCs/>
                <w:color w:val="000000"/>
                <w:sz w:val="20"/>
                <w:szCs w:val="20"/>
                <w:lang w:eastAsia="cs-CZ"/>
              </w:rPr>
            </w:pPr>
            <w:r w:rsidRPr="000651A8">
              <w:rPr>
                <w:rFonts w:ascii="Calibri" w:eastAsia="Times New Roman" w:hAnsi="Calibri" w:cs="Calibri"/>
                <w:b/>
                <w:bCs/>
                <w:color w:val="000000"/>
                <w:sz w:val="20"/>
                <w:szCs w:val="20"/>
                <w:lang w:eastAsia="cs-CZ"/>
              </w:rPr>
              <w:t>2018</w:t>
            </w:r>
          </w:p>
        </w:tc>
        <w:tc>
          <w:tcPr>
            <w:tcW w:w="964" w:type="dxa"/>
            <w:shd w:val="clear" w:color="000000" w:fill="E2F1EE"/>
            <w:noWrap/>
            <w:vAlign w:val="center"/>
            <w:hideMark/>
          </w:tcPr>
          <w:p w14:paraId="7E16D89F" w14:textId="77777777" w:rsidR="00A16AA1" w:rsidRPr="000651A8" w:rsidRDefault="00A16AA1" w:rsidP="001341AE">
            <w:pPr>
              <w:spacing w:after="0" w:line="240" w:lineRule="auto"/>
              <w:jc w:val="center"/>
              <w:rPr>
                <w:rFonts w:ascii="Calibri" w:eastAsia="Times New Roman" w:hAnsi="Calibri" w:cs="Calibri"/>
                <w:b/>
                <w:bCs/>
                <w:color w:val="000000"/>
                <w:sz w:val="20"/>
                <w:szCs w:val="20"/>
                <w:lang w:eastAsia="cs-CZ"/>
              </w:rPr>
            </w:pPr>
            <w:r w:rsidRPr="000651A8">
              <w:rPr>
                <w:rFonts w:ascii="Calibri" w:eastAsia="Times New Roman" w:hAnsi="Calibri" w:cs="Calibri"/>
                <w:b/>
                <w:bCs/>
                <w:color w:val="000000"/>
                <w:sz w:val="20"/>
                <w:szCs w:val="20"/>
                <w:lang w:eastAsia="cs-CZ"/>
              </w:rPr>
              <w:t>2019</w:t>
            </w:r>
          </w:p>
        </w:tc>
        <w:tc>
          <w:tcPr>
            <w:tcW w:w="964" w:type="dxa"/>
            <w:shd w:val="clear" w:color="000000" w:fill="E2F1EE"/>
            <w:noWrap/>
            <w:vAlign w:val="center"/>
            <w:hideMark/>
          </w:tcPr>
          <w:p w14:paraId="4D815A0D" w14:textId="77777777" w:rsidR="00A16AA1" w:rsidRPr="000651A8" w:rsidRDefault="00A16AA1" w:rsidP="001341AE">
            <w:pPr>
              <w:spacing w:after="0" w:line="240" w:lineRule="auto"/>
              <w:jc w:val="center"/>
              <w:rPr>
                <w:rFonts w:ascii="Calibri" w:eastAsia="Times New Roman" w:hAnsi="Calibri" w:cs="Calibri"/>
                <w:b/>
                <w:bCs/>
                <w:color w:val="000000"/>
                <w:sz w:val="20"/>
                <w:szCs w:val="20"/>
                <w:lang w:eastAsia="cs-CZ"/>
              </w:rPr>
            </w:pPr>
            <w:r w:rsidRPr="000651A8">
              <w:rPr>
                <w:rFonts w:ascii="Calibri" w:eastAsia="Times New Roman" w:hAnsi="Calibri" w:cs="Calibri"/>
                <w:b/>
                <w:bCs/>
                <w:color w:val="000000"/>
                <w:sz w:val="20"/>
                <w:szCs w:val="20"/>
                <w:lang w:eastAsia="cs-CZ"/>
              </w:rPr>
              <w:t>2020</w:t>
            </w:r>
          </w:p>
        </w:tc>
        <w:tc>
          <w:tcPr>
            <w:tcW w:w="964" w:type="dxa"/>
            <w:shd w:val="clear" w:color="000000" w:fill="E2F1EE"/>
            <w:noWrap/>
            <w:vAlign w:val="center"/>
            <w:hideMark/>
          </w:tcPr>
          <w:p w14:paraId="76687C29" w14:textId="77777777" w:rsidR="00A16AA1" w:rsidRPr="000651A8" w:rsidRDefault="00A16AA1" w:rsidP="001341AE">
            <w:pPr>
              <w:spacing w:after="0" w:line="240" w:lineRule="auto"/>
              <w:jc w:val="center"/>
              <w:rPr>
                <w:rFonts w:ascii="Calibri" w:eastAsia="Times New Roman" w:hAnsi="Calibri" w:cs="Calibri"/>
                <w:b/>
                <w:bCs/>
                <w:color w:val="000000"/>
                <w:sz w:val="20"/>
                <w:szCs w:val="20"/>
                <w:lang w:eastAsia="cs-CZ"/>
              </w:rPr>
            </w:pPr>
            <w:r w:rsidRPr="000651A8">
              <w:rPr>
                <w:rFonts w:ascii="Calibri" w:eastAsia="Times New Roman" w:hAnsi="Calibri" w:cs="Calibri"/>
                <w:b/>
                <w:bCs/>
                <w:color w:val="000000"/>
                <w:sz w:val="20"/>
                <w:szCs w:val="20"/>
                <w:lang w:eastAsia="cs-CZ"/>
              </w:rPr>
              <w:t>2021</w:t>
            </w:r>
          </w:p>
        </w:tc>
        <w:tc>
          <w:tcPr>
            <w:tcW w:w="964" w:type="dxa"/>
            <w:shd w:val="clear" w:color="000000" w:fill="E2F1EE"/>
            <w:noWrap/>
            <w:vAlign w:val="center"/>
            <w:hideMark/>
          </w:tcPr>
          <w:p w14:paraId="21703020" w14:textId="77777777" w:rsidR="00A16AA1" w:rsidRPr="000651A8" w:rsidRDefault="00A16AA1" w:rsidP="001341AE">
            <w:pPr>
              <w:spacing w:after="0" w:line="240" w:lineRule="auto"/>
              <w:jc w:val="center"/>
              <w:rPr>
                <w:rFonts w:ascii="Calibri" w:eastAsia="Times New Roman" w:hAnsi="Calibri" w:cs="Calibri"/>
                <w:b/>
                <w:bCs/>
                <w:color w:val="000000"/>
                <w:sz w:val="20"/>
                <w:szCs w:val="20"/>
                <w:lang w:eastAsia="cs-CZ"/>
              </w:rPr>
            </w:pPr>
            <w:r w:rsidRPr="000651A8">
              <w:rPr>
                <w:rFonts w:ascii="Calibri" w:eastAsia="Times New Roman" w:hAnsi="Calibri" w:cs="Calibri"/>
                <w:b/>
                <w:bCs/>
                <w:color w:val="000000"/>
                <w:sz w:val="20"/>
                <w:szCs w:val="20"/>
                <w:lang w:eastAsia="cs-CZ"/>
              </w:rPr>
              <w:t>2022</w:t>
            </w:r>
          </w:p>
        </w:tc>
      </w:tr>
      <w:tr w:rsidR="00A16AA1" w:rsidRPr="000651A8" w14:paraId="1B0C9332" w14:textId="77777777" w:rsidTr="005A1206">
        <w:trPr>
          <w:trHeight w:val="255"/>
        </w:trPr>
        <w:tc>
          <w:tcPr>
            <w:tcW w:w="4243" w:type="dxa"/>
            <w:shd w:val="clear" w:color="auto" w:fill="auto"/>
            <w:noWrap/>
            <w:vAlign w:val="center"/>
            <w:hideMark/>
          </w:tcPr>
          <w:p w14:paraId="7043EDAA" w14:textId="77777777" w:rsidR="00A16AA1" w:rsidRPr="000651A8" w:rsidRDefault="00A16AA1" w:rsidP="001341AE">
            <w:pPr>
              <w:spacing w:after="0" w:line="240" w:lineRule="auto"/>
              <w:rPr>
                <w:rFonts w:ascii="Calibri" w:eastAsia="Times New Roman" w:hAnsi="Calibri" w:cs="Calibri"/>
                <w:b/>
                <w:bCs/>
                <w:color w:val="000000"/>
                <w:sz w:val="20"/>
                <w:szCs w:val="20"/>
                <w:lang w:eastAsia="cs-CZ"/>
              </w:rPr>
            </w:pPr>
            <w:r w:rsidRPr="000651A8">
              <w:rPr>
                <w:rFonts w:ascii="Calibri" w:eastAsia="Times New Roman" w:hAnsi="Calibri" w:cs="Calibri"/>
                <w:b/>
                <w:bCs/>
                <w:color w:val="000000"/>
                <w:sz w:val="20"/>
                <w:szCs w:val="20"/>
                <w:lang w:eastAsia="cs-CZ"/>
              </w:rPr>
              <w:t xml:space="preserve">Inkaso DPPO </w:t>
            </w:r>
          </w:p>
        </w:tc>
        <w:tc>
          <w:tcPr>
            <w:tcW w:w="964" w:type="dxa"/>
            <w:shd w:val="clear" w:color="auto" w:fill="auto"/>
            <w:vAlign w:val="center"/>
            <w:hideMark/>
          </w:tcPr>
          <w:p w14:paraId="79017A3B" w14:textId="77777777" w:rsidR="00A16AA1" w:rsidRPr="000651A8" w:rsidRDefault="00A16AA1"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174 008</w:t>
            </w:r>
          </w:p>
        </w:tc>
        <w:tc>
          <w:tcPr>
            <w:tcW w:w="964" w:type="dxa"/>
            <w:shd w:val="clear" w:color="auto" w:fill="auto"/>
            <w:noWrap/>
            <w:vAlign w:val="center"/>
            <w:hideMark/>
          </w:tcPr>
          <w:p w14:paraId="48BB23CB" w14:textId="77777777" w:rsidR="00A16AA1" w:rsidRPr="000651A8" w:rsidRDefault="00A16AA1"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182 898</w:t>
            </w:r>
          </w:p>
        </w:tc>
        <w:tc>
          <w:tcPr>
            <w:tcW w:w="964" w:type="dxa"/>
            <w:shd w:val="clear" w:color="auto" w:fill="auto"/>
            <w:noWrap/>
            <w:vAlign w:val="center"/>
            <w:hideMark/>
          </w:tcPr>
          <w:p w14:paraId="4E58EE0C" w14:textId="77777777" w:rsidR="00A16AA1" w:rsidRPr="000651A8" w:rsidRDefault="00A16AA1"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160 551</w:t>
            </w:r>
          </w:p>
        </w:tc>
        <w:tc>
          <w:tcPr>
            <w:tcW w:w="964" w:type="dxa"/>
            <w:shd w:val="clear" w:color="auto" w:fill="auto"/>
            <w:noWrap/>
            <w:vAlign w:val="center"/>
            <w:hideMark/>
          </w:tcPr>
          <w:p w14:paraId="44B13141" w14:textId="77777777" w:rsidR="00A16AA1" w:rsidRPr="000651A8" w:rsidRDefault="00A16AA1"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200 566</w:t>
            </w:r>
          </w:p>
        </w:tc>
        <w:tc>
          <w:tcPr>
            <w:tcW w:w="964" w:type="dxa"/>
            <w:shd w:val="clear" w:color="auto" w:fill="auto"/>
            <w:noWrap/>
            <w:vAlign w:val="center"/>
            <w:hideMark/>
          </w:tcPr>
          <w:p w14:paraId="5CBB5DDB" w14:textId="0F85C238" w:rsidR="00A16AA1" w:rsidRPr="004F7003" w:rsidRDefault="004F7003" w:rsidP="004F7003">
            <w:pPr>
              <w:spacing w:after="0" w:line="240" w:lineRule="auto"/>
              <w:ind w:right="57"/>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 xml:space="preserve">235 </w:t>
            </w:r>
            <w:r w:rsidR="00814652" w:rsidRPr="004F7003">
              <w:rPr>
                <w:rFonts w:ascii="Calibri" w:eastAsia="Times New Roman" w:hAnsi="Calibri" w:cs="Calibri"/>
                <w:color w:val="000000"/>
                <w:sz w:val="20"/>
                <w:szCs w:val="20"/>
                <w:lang w:eastAsia="cs-CZ"/>
              </w:rPr>
              <w:t>34</w:t>
            </w:r>
            <w:r w:rsidR="00A16AA1" w:rsidRPr="004F7003">
              <w:rPr>
                <w:rFonts w:ascii="Calibri" w:eastAsia="Times New Roman" w:hAnsi="Calibri" w:cs="Calibri"/>
                <w:color w:val="000000"/>
                <w:sz w:val="20"/>
                <w:szCs w:val="20"/>
                <w:lang w:eastAsia="cs-CZ"/>
              </w:rPr>
              <w:t>6</w:t>
            </w:r>
          </w:p>
        </w:tc>
      </w:tr>
      <w:tr w:rsidR="005257FF" w:rsidRPr="000651A8" w14:paraId="750BD32A" w14:textId="77777777" w:rsidTr="005A1206">
        <w:trPr>
          <w:trHeight w:val="255"/>
        </w:trPr>
        <w:tc>
          <w:tcPr>
            <w:tcW w:w="4243" w:type="dxa"/>
            <w:shd w:val="clear" w:color="auto" w:fill="auto"/>
            <w:noWrap/>
            <w:vAlign w:val="center"/>
            <w:hideMark/>
          </w:tcPr>
          <w:p w14:paraId="4FD1FC26" w14:textId="2C233197" w:rsidR="000651A8" w:rsidRPr="00832611" w:rsidRDefault="00832611" w:rsidP="00832611">
            <w:pPr>
              <w:spacing w:after="0" w:line="240" w:lineRule="auto"/>
              <w:rPr>
                <w:rFonts w:ascii="Calibri" w:eastAsia="Times New Roman" w:hAnsi="Calibri" w:cs="Calibri"/>
                <w:color w:val="000000"/>
                <w:sz w:val="20"/>
                <w:szCs w:val="20"/>
                <w:lang w:eastAsia="cs-CZ"/>
              </w:rPr>
            </w:pPr>
            <w:r w:rsidRPr="00832611">
              <w:rPr>
                <w:rFonts w:ascii="Calibri" w:eastAsia="Times New Roman" w:hAnsi="Calibri" w:cs="Calibri"/>
                <w:color w:val="000000"/>
                <w:sz w:val="20"/>
                <w:szCs w:val="20"/>
                <w:lang w:eastAsia="cs-CZ"/>
              </w:rPr>
              <w:t xml:space="preserve"> –</w:t>
            </w:r>
            <w:r w:rsidR="000651A8" w:rsidRPr="00832611">
              <w:rPr>
                <w:rFonts w:ascii="Calibri" w:eastAsia="Times New Roman" w:hAnsi="Calibri" w:cs="Calibri"/>
                <w:color w:val="000000"/>
                <w:sz w:val="20"/>
                <w:szCs w:val="20"/>
                <w:lang w:eastAsia="cs-CZ"/>
              </w:rPr>
              <w:t xml:space="preserve"> z toho:</w:t>
            </w:r>
          </w:p>
          <w:p w14:paraId="4C77A993" w14:textId="75A6F318" w:rsidR="000651A8" w:rsidRPr="000651A8" w:rsidRDefault="000651A8" w:rsidP="00E84AF0">
            <w:pPr>
              <w:spacing w:after="0" w:line="240" w:lineRule="auto"/>
              <w:ind w:firstLine="779"/>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Inkaso DPPO z přiznání</w:t>
            </w:r>
          </w:p>
        </w:tc>
        <w:tc>
          <w:tcPr>
            <w:tcW w:w="964" w:type="dxa"/>
            <w:shd w:val="clear" w:color="auto" w:fill="auto"/>
            <w:vAlign w:val="center"/>
            <w:hideMark/>
          </w:tcPr>
          <w:p w14:paraId="7CA2E116" w14:textId="77777777" w:rsidR="000651A8" w:rsidRPr="000651A8" w:rsidRDefault="000651A8"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 </w:t>
            </w:r>
          </w:p>
          <w:p w14:paraId="25B14006" w14:textId="0FA20886" w:rsidR="000651A8" w:rsidRPr="000651A8" w:rsidRDefault="000651A8"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166 131</w:t>
            </w:r>
          </w:p>
        </w:tc>
        <w:tc>
          <w:tcPr>
            <w:tcW w:w="964" w:type="dxa"/>
            <w:shd w:val="clear" w:color="auto" w:fill="auto"/>
            <w:noWrap/>
            <w:vAlign w:val="center"/>
            <w:hideMark/>
          </w:tcPr>
          <w:p w14:paraId="75F20288" w14:textId="77777777" w:rsidR="000651A8" w:rsidRPr="000651A8" w:rsidRDefault="000651A8"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 </w:t>
            </w:r>
          </w:p>
          <w:p w14:paraId="1BF1F4EF" w14:textId="60581D68" w:rsidR="000651A8" w:rsidRPr="000651A8" w:rsidRDefault="000651A8"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175 649</w:t>
            </w:r>
          </w:p>
        </w:tc>
        <w:tc>
          <w:tcPr>
            <w:tcW w:w="964" w:type="dxa"/>
            <w:shd w:val="clear" w:color="auto" w:fill="auto"/>
            <w:noWrap/>
            <w:vAlign w:val="center"/>
            <w:hideMark/>
          </w:tcPr>
          <w:p w14:paraId="6DC6B958" w14:textId="77777777" w:rsidR="000651A8" w:rsidRPr="000651A8" w:rsidRDefault="000651A8"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 </w:t>
            </w:r>
          </w:p>
          <w:p w14:paraId="2C4E24A1" w14:textId="7BC154D5" w:rsidR="000651A8" w:rsidRPr="000651A8" w:rsidRDefault="000651A8"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155 998</w:t>
            </w:r>
          </w:p>
        </w:tc>
        <w:tc>
          <w:tcPr>
            <w:tcW w:w="964" w:type="dxa"/>
            <w:shd w:val="clear" w:color="auto" w:fill="auto"/>
            <w:noWrap/>
            <w:vAlign w:val="center"/>
            <w:hideMark/>
          </w:tcPr>
          <w:p w14:paraId="775D423F" w14:textId="77777777" w:rsidR="000651A8" w:rsidRPr="000651A8" w:rsidRDefault="000651A8"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 </w:t>
            </w:r>
          </w:p>
          <w:p w14:paraId="4CE009FB" w14:textId="4FC3653E" w:rsidR="000651A8" w:rsidRPr="000651A8" w:rsidRDefault="000651A8"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195 964</w:t>
            </w:r>
          </w:p>
        </w:tc>
        <w:tc>
          <w:tcPr>
            <w:tcW w:w="964" w:type="dxa"/>
            <w:shd w:val="clear" w:color="auto" w:fill="auto"/>
            <w:noWrap/>
            <w:vAlign w:val="center"/>
            <w:hideMark/>
          </w:tcPr>
          <w:p w14:paraId="403AD9BB" w14:textId="77777777" w:rsidR="000651A8" w:rsidRPr="000651A8" w:rsidRDefault="000651A8"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 </w:t>
            </w:r>
          </w:p>
          <w:p w14:paraId="49EBC5B0" w14:textId="2CBFC2F0" w:rsidR="000651A8" w:rsidRPr="000651A8" w:rsidRDefault="000651A8"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228 676</w:t>
            </w:r>
          </w:p>
        </w:tc>
      </w:tr>
      <w:tr w:rsidR="005257FF" w:rsidRPr="000651A8" w14:paraId="39EB4657" w14:textId="77777777" w:rsidTr="005A1206">
        <w:trPr>
          <w:trHeight w:val="255"/>
        </w:trPr>
        <w:tc>
          <w:tcPr>
            <w:tcW w:w="4243" w:type="dxa"/>
            <w:shd w:val="clear" w:color="auto" w:fill="auto"/>
            <w:noWrap/>
            <w:vAlign w:val="center"/>
            <w:hideMark/>
          </w:tcPr>
          <w:p w14:paraId="348D1D1E" w14:textId="41BDD3ED" w:rsidR="00A16AA1" w:rsidRPr="000651A8" w:rsidRDefault="00A16AA1" w:rsidP="00E84AF0">
            <w:pPr>
              <w:spacing w:after="0" w:line="240" w:lineRule="auto"/>
              <w:ind w:firstLine="779"/>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Inkaso DPPO srážkou dle zvláštní sazby</w:t>
            </w:r>
          </w:p>
        </w:tc>
        <w:tc>
          <w:tcPr>
            <w:tcW w:w="964" w:type="dxa"/>
            <w:shd w:val="clear" w:color="auto" w:fill="auto"/>
            <w:vAlign w:val="center"/>
            <w:hideMark/>
          </w:tcPr>
          <w:p w14:paraId="24A2CFD5" w14:textId="77777777" w:rsidR="00A16AA1" w:rsidRPr="000651A8" w:rsidRDefault="00A16AA1"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7 877</w:t>
            </w:r>
          </w:p>
        </w:tc>
        <w:tc>
          <w:tcPr>
            <w:tcW w:w="964" w:type="dxa"/>
            <w:shd w:val="clear" w:color="auto" w:fill="auto"/>
            <w:noWrap/>
            <w:vAlign w:val="center"/>
            <w:hideMark/>
          </w:tcPr>
          <w:p w14:paraId="150BE03E" w14:textId="77777777" w:rsidR="00A16AA1" w:rsidRPr="000651A8" w:rsidRDefault="00A16AA1"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7 249</w:t>
            </w:r>
          </w:p>
        </w:tc>
        <w:tc>
          <w:tcPr>
            <w:tcW w:w="964" w:type="dxa"/>
            <w:shd w:val="clear" w:color="auto" w:fill="auto"/>
            <w:noWrap/>
            <w:vAlign w:val="center"/>
            <w:hideMark/>
          </w:tcPr>
          <w:p w14:paraId="03A67767" w14:textId="77777777" w:rsidR="00A16AA1" w:rsidRPr="000651A8" w:rsidRDefault="00A16AA1"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4 553</w:t>
            </w:r>
          </w:p>
        </w:tc>
        <w:tc>
          <w:tcPr>
            <w:tcW w:w="964" w:type="dxa"/>
            <w:shd w:val="clear" w:color="auto" w:fill="auto"/>
            <w:noWrap/>
            <w:vAlign w:val="center"/>
            <w:hideMark/>
          </w:tcPr>
          <w:p w14:paraId="243F6BD5" w14:textId="77777777" w:rsidR="00A16AA1" w:rsidRPr="000651A8" w:rsidRDefault="00A16AA1"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4 601</w:t>
            </w:r>
          </w:p>
        </w:tc>
        <w:tc>
          <w:tcPr>
            <w:tcW w:w="964" w:type="dxa"/>
            <w:shd w:val="clear" w:color="auto" w:fill="auto"/>
            <w:noWrap/>
            <w:vAlign w:val="center"/>
            <w:hideMark/>
          </w:tcPr>
          <w:p w14:paraId="301893CF" w14:textId="77777777" w:rsidR="00A16AA1" w:rsidRPr="000651A8" w:rsidRDefault="00A16AA1" w:rsidP="004F7003">
            <w:pPr>
              <w:spacing w:after="0" w:line="240" w:lineRule="auto"/>
              <w:ind w:right="57"/>
              <w:jc w:val="right"/>
              <w:rPr>
                <w:rFonts w:ascii="Calibri" w:eastAsia="Times New Roman" w:hAnsi="Calibri" w:cs="Calibri"/>
                <w:color w:val="000000"/>
                <w:sz w:val="20"/>
                <w:szCs w:val="20"/>
                <w:lang w:eastAsia="cs-CZ"/>
              </w:rPr>
            </w:pPr>
            <w:r w:rsidRPr="000651A8">
              <w:rPr>
                <w:rFonts w:ascii="Calibri" w:eastAsia="Times New Roman" w:hAnsi="Calibri" w:cs="Calibri"/>
                <w:color w:val="000000"/>
                <w:sz w:val="20"/>
                <w:szCs w:val="20"/>
                <w:lang w:eastAsia="cs-CZ"/>
              </w:rPr>
              <w:t>6 670</w:t>
            </w:r>
          </w:p>
        </w:tc>
      </w:tr>
    </w:tbl>
    <w:p w14:paraId="11F63ECA" w14:textId="77777777" w:rsidR="00A16AA1" w:rsidRPr="00965611" w:rsidRDefault="00A16AA1" w:rsidP="000651A8">
      <w:pPr>
        <w:spacing w:before="40" w:after="120" w:line="240" w:lineRule="auto"/>
        <w:jc w:val="both"/>
        <w:rPr>
          <w:rFonts w:ascii="Calibri" w:hAnsi="Calibri" w:cs="Calibri"/>
          <w:color w:val="000000"/>
          <w:sz w:val="20"/>
          <w:szCs w:val="20"/>
        </w:rPr>
      </w:pPr>
      <w:r w:rsidRPr="000651A8">
        <w:rPr>
          <w:rFonts w:ascii="Calibri" w:hAnsi="Calibri" w:cs="Calibri"/>
          <w:b/>
          <w:color w:val="000000"/>
          <w:sz w:val="20"/>
          <w:szCs w:val="20"/>
        </w:rPr>
        <w:t>Zdroj:</w:t>
      </w:r>
      <w:r w:rsidRPr="00026856">
        <w:rPr>
          <w:rFonts w:ascii="Calibri" w:hAnsi="Calibri" w:cs="Calibri"/>
          <w:color w:val="000000"/>
          <w:sz w:val="20"/>
          <w:szCs w:val="20"/>
        </w:rPr>
        <w:t xml:space="preserve"> </w:t>
      </w:r>
      <w:r w:rsidRPr="00026856">
        <w:rPr>
          <w:rFonts w:ascii="Calibri" w:hAnsi="Calibri" w:cs="Calibri"/>
          <w:color w:val="000000" w:themeColor="text1"/>
          <w:sz w:val="20"/>
          <w:szCs w:val="20"/>
        </w:rPr>
        <w:t>v</w:t>
      </w:r>
      <w:r>
        <w:rPr>
          <w:rFonts w:ascii="Calibri" w:hAnsi="Calibri" w:cs="Calibri"/>
          <w:color w:val="000000" w:themeColor="text1"/>
          <w:sz w:val="20"/>
          <w:szCs w:val="20"/>
        </w:rPr>
        <w:t>ypracoval NKÚ na základě dat poskytnutých</w:t>
      </w:r>
      <w:r>
        <w:rPr>
          <w:rFonts w:ascii="Calibri" w:hAnsi="Calibri" w:cs="Calibri"/>
          <w:color w:val="000000"/>
          <w:sz w:val="20"/>
          <w:szCs w:val="20"/>
        </w:rPr>
        <w:t xml:space="preserve"> GFŘ.</w:t>
      </w:r>
    </w:p>
    <w:p w14:paraId="2357982B" w14:textId="77777777" w:rsidR="00CC4A4F" w:rsidRDefault="001F3E90" w:rsidP="00225506">
      <w:pPr>
        <w:spacing w:before="120" w:after="0"/>
        <w:jc w:val="both"/>
        <w:rPr>
          <w:rFonts w:cstheme="minorHAnsi"/>
          <w:sz w:val="24"/>
          <w:szCs w:val="24"/>
        </w:rPr>
      </w:pPr>
      <w:r w:rsidRPr="001F3E90">
        <w:rPr>
          <w:rFonts w:cstheme="minorHAnsi"/>
          <w:color w:val="000000" w:themeColor="text1"/>
          <w:sz w:val="24"/>
          <w:szCs w:val="24"/>
        </w:rPr>
        <w:t>Směrnice ATAD byl</w:t>
      </w:r>
      <w:r w:rsidR="009F5BF5">
        <w:rPr>
          <w:rFonts w:cstheme="minorHAnsi"/>
          <w:color w:val="000000" w:themeColor="text1"/>
          <w:sz w:val="24"/>
          <w:szCs w:val="24"/>
        </w:rPr>
        <w:t>a</w:t>
      </w:r>
      <w:r w:rsidRPr="001F3E90">
        <w:rPr>
          <w:rFonts w:cstheme="minorHAnsi"/>
          <w:color w:val="000000" w:themeColor="text1"/>
          <w:sz w:val="24"/>
          <w:szCs w:val="24"/>
        </w:rPr>
        <w:t xml:space="preserve"> do české právní úpravy </w:t>
      </w:r>
      <w:r w:rsidR="00AF5DA1">
        <w:rPr>
          <w:rFonts w:cstheme="minorHAnsi"/>
          <w:color w:val="000000" w:themeColor="text1"/>
          <w:sz w:val="24"/>
          <w:szCs w:val="24"/>
        </w:rPr>
        <w:t>transponován</w:t>
      </w:r>
      <w:r w:rsidR="009F5BF5">
        <w:rPr>
          <w:rFonts w:cstheme="minorHAnsi"/>
          <w:color w:val="000000" w:themeColor="text1"/>
          <w:sz w:val="24"/>
          <w:szCs w:val="24"/>
        </w:rPr>
        <w:t>a</w:t>
      </w:r>
      <w:r w:rsidR="00AF5DA1" w:rsidRPr="001F3E90">
        <w:rPr>
          <w:rFonts w:cstheme="minorHAnsi"/>
          <w:color w:val="000000" w:themeColor="text1"/>
          <w:sz w:val="24"/>
          <w:szCs w:val="24"/>
        </w:rPr>
        <w:t xml:space="preserve"> </w:t>
      </w:r>
      <w:r w:rsidRPr="001F3E90">
        <w:rPr>
          <w:rFonts w:cstheme="minorHAnsi"/>
          <w:color w:val="000000" w:themeColor="text1"/>
          <w:sz w:val="24"/>
          <w:szCs w:val="24"/>
        </w:rPr>
        <w:t>prostřednictvím zákona č.</w:t>
      </w:r>
      <w:r w:rsidR="009C65A6">
        <w:rPr>
          <w:rFonts w:cstheme="minorHAnsi"/>
          <w:color w:val="000000" w:themeColor="text1"/>
          <w:sz w:val="24"/>
          <w:szCs w:val="24"/>
        </w:rPr>
        <w:t> </w:t>
      </w:r>
      <w:r w:rsidRPr="001F3E90">
        <w:rPr>
          <w:rFonts w:cstheme="minorHAnsi"/>
          <w:color w:val="000000" w:themeColor="text1"/>
          <w:sz w:val="24"/>
          <w:szCs w:val="24"/>
        </w:rPr>
        <w:t>80/2019 Sb.</w:t>
      </w:r>
      <w:r w:rsidRPr="001F3E90">
        <w:rPr>
          <w:rStyle w:val="Znakapoznpodarou"/>
          <w:rFonts w:cstheme="minorHAnsi"/>
          <w:color w:val="000000" w:themeColor="text1"/>
          <w:sz w:val="24"/>
          <w:szCs w:val="24"/>
        </w:rPr>
        <w:footnoteReference w:id="10"/>
      </w:r>
      <w:r w:rsidRPr="001F3E90">
        <w:rPr>
          <w:rFonts w:cstheme="minorHAnsi"/>
          <w:color w:val="000000" w:themeColor="text1"/>
          <w:sz w:val="24"/>
          <w:szCs w:val="24"/>
        </w:rPr>
        <w:t xml:space="preserve"> </w:t>
      </w:r>
      <w:r w:rsidR="00CC4A4F">
        <w:rPr>
          <w:rFonts w:cstheme="minorHAnsi"/>
          <w:color w:val="000000" w:themeColor="text1"/>
          <w:sz w:val="24"/>
          <w:szCs w:val="24"/>
        </w:rPr>
        <w:t>s účinností od 1.</w:t>
      </w:r>
      <w:r w:rsidR="000426DE">
        <w:rPr>
          <w:rFonts w:cstheme="minorHAnsi"/>
          <w:color w:val="000000" w:themeColor="text1"/>
          <w:sz w:val="24"/>
          <w:szCs w:val="24"/>
        </w:rPr>
        <w:t xml:space="preserve"> </w:t>
      </w:r>
      <w:r w:rsidR="00CC4A4F">
        <w:rPr>
          <w:rFonts w:cstheme="minorHAnsi"/>
          <w:color w:val="000000" w:themeColor="text1"/>
          <w:sz w:val="24"/>
          <w:szCs w:val="24"/>
        </w:rPr>
        <w:t>4.</w:t>
      </w:r>
      <w:r w:rsidR="000426DE">
        <w:rPr>
          <w:rFonts w:cstheme="minorHAnsi"/>
          <w:color w:val="000000" w:themeColor="text1"/>
          <w:sz w:val="24"/>
          <w:szCs w:val="24"/>
        </w:rPr>
        <w:t xml:space="preserve"> </w:t>
      </w:r>
      <w:r w:rsidR="00CC4A4F">
        <w:rPr>
          <w:rFonts w:cstheme="minorHAnsi"/>
          <w:color w:val="000000" w:themeColor="text1"/>
          <w:sz w:val="24"/>
          <w:szCs w:val="24"/>
        </w:rPr>
        <w:t xml:space="preserve">2019 </w:t>
      </w:r>
      <w:r w:rsidRPr="001F3E90">
        <w:rPr>
          <w:rFonts w:cstheme="minorHAnsi"/>
          <w:color w:val="000000" w:themeColor="text1"/>
          <w:sz w:val="24"/>
          <w:szCs w:val="24"/>
        </w:rPr>
        <w:t>a následně byly některé zákony v souvislosti s </w:t>
      </w:r>
      <w:r w:rsidR="009F5BF5">
        <w:rPr>
          <w:rFonts w:cstheme="minorHAnsi"/>
          <w:color w:val="000000" w:themeColor="text1"/>
          <w:sz w:val="24"/>
          <w:szCs w:val="24"/>
        </w:rPr>
        <w:t>novelizací</w:t>
      </w:r>
      <w:r w:rsidR="009F5BF5" w:rsidRPr="001F3E90">
        <w:rPr>
          <w:rFonts w:cstheme="minorHAnsi"/>
          <w:color w:val="000000" w:themeColor="text1"/>
          <w:sz w:val="24"/>
          <w:szCs w:val="24"/>
        </w:rPr>
        <w:t xml:space="preserve"> </w:t>
      </w:r>
      <w:r w:rsidRPr="001F3E90">
        <w:rPr>
          <w:rFonts w:cstheme="minorHAnsi"/>
          <w:color w:val="000000" w:themeColor="text1"/>
          <w:sz w:val="24"/>
          <w:szCs w:val="24"/>
        </w:rPr>
        <w:t>směrnic</w:t>
      </w:r>
      <w:r w:rsidR="009F5BF5">
        <w:rPr>
          <w:rFonts w:cstheme="minorHAnsi"/>
          <w:color w:val="000000" w:themeColor="text1"/>
          <w:sz w:val="24"/>
          <w:szCs w:val="24"/>
        </w:rPr>
        <w:t>e</w:t>
      </w:r>
      <w:r w:rsidRPr="001F3E90">
        <w:rPr>
          <w:rFonts w:cstheme="minorHAnsi"/>
          <w:color w:val="000000" w:themeColor="text1"/>
          <w:sz w:val="24"/>
          <w:szCs w:val="24"/>
        </w:rPr>
        <w:t xml:space="preserve"> ATAD změněny </w:t>
      </w:r>
      <w:bookmarkStart w:id="2" w:name="_Hlk166504603"/>
      <w:r w:rsidRPr="001F3E90">
        <w:rPr>
          <w:rFonts w:cstheme="minorHAnsi"/>
          <w:color w:val="000000" w:themeColor="text1"/>
          <w:sz w:val="24"/>
          <w:szCs w:val="24"/>
        </w:rPr>
        <w:t>zákonem č. 343/2020 Sb.</w:t>
      </w:r>
      <w:r w:rsidRPr="001F3E90">
        <w:rPr>
          <w:rStyle w:val="Znakapoznpodarou"/>
          <w:rFonts w:cstheme="minorHAnsi"/>
          <w:color w:val="000000" w:themeColor="text1"/>
          <w:sz w:val="24"/>
          <w:szCs w:val="24"/>
        </w:rPr>
        <w:footnoteReference w:id="11"/>
      </w:r>
      <w:bookmarkEnd w:id="2"/>
      <w:r w:rsidRPr="001F3E90">
        <w:rPr>
          <w:rFonts w:cstheme="minorHAnsi"/>
          <w:sz w:val="24"/>
          <w:szCs w:val="24"/>
        </w:rPr>
        <w:t xml:space="preserve"> Směrnice ATAD stanoví pět opatření (pravidel) proti vyhýbání se daňovým povinnostem</w:t>
      </w:r>
      <w:r w:rsidR="00CC4A4F">
        <w:rPr>
          <w:rFonts w:cstheme="minorHAnsi"/>
          <w:sz w:val="24"/>
          <w:szCs w:val="24"/>
        </w:rPr>
        <w:t>:</w:t>
      </w:r>
    </w:p>
    <w:p w14:paraId="727560FE" w14:textId="77777777" w:rsidR="00CC4A4F" w:rsidRDefault="00CC4A4F" w:rsidP="000651A8">
      <w:pPr>
        <w:pStyle w:val="Odstavecseseznamem"/>
        <w:numPr>
          <w:ilvl w:val="0"/>
          <w:numId w:val="10"/>
        </w:numPr>
        <w:spacing w:after="120"/>
        <w:ind w:left="284" w:hanging="284"/>
        <w:jc w:val="both"/>
        <w:rPr>
          <w:rFonts w:cstheme="minorHAnsi"/>
          <w:sz w:val="24"/>
          <w:szCs w:val="24"/>
        </w:rPr>
      </w:pPr>
      <w:r>
        <w:rPr>
          <w:rFonts w:cstheme="minorHAnsi"/>
          <w:sz w:val="24"/>
          <w:szCs w:val="24"/>
        </w:rPr>
        <w:t>omezení uznatelnosti nadměrných výpůjčných výdajů;</w:t>
      </w:r>
    </w:p>
    <w:p w14:paraId="1C16D308" w14:textId="77777777" w:rsidR="00CC4A4F" w:rsidRDefault="00CC4A4F" w:rsidP="000651A8">
      <w:pPr>
        <w:pStyle w:val="Odstavecseseznamem"/>
        <w:numPr>
          <w:ilvl w:val="0"/>
          <w:numId w:val="10"/>
        </w:numPr>
        <w:spacing w:before="120" w:after="120"/>
        <w:ind w:left="284" w:hanging="284"/>
        <w:jc w:val="both"/>
        <w:rPr>
          <w:rFonts w:cstheme="minorHAnsi"/>
          <w:sz w:val="24"/>
          <w:szCs w:val="24"/>
        </w:rPr>
      </w:pPr>
      <w:r>
        <w:rPr>
          <w:rFonts w:cstheme="minorHAnsi"/>
          <w:sz w:val="24"/>
          <w:szCs w:val="24"/>
        </w:rPr>
        <w:t>zdanění při přemístění majetku bez změny vlastnictví;</w:t>
      </w:r>
    </w:p>
    <w:p w14:paraId="32AA9CF8" w14:textId="77777777" w:rsidR="00CC4A4F" w:rsidRDefault="00CC4A4F" w:rsidP="000651A8">
      <w:pPr>
        <w:pStyle w:val="Odstavecseseznamem"/>
        <w:numPr>
          <w:ilvl w:val="0"/>
          <w:numId w:val="10"/>
        </w:numPr>
        <w:spacing w:before="120" w:after="120"/>
        <w:ind w:left="284" w:hanging="284"/>
        <w:jc w:val="both"/>
        <w:rPr>
          <w:rFonts w:cstheme="minorHAnsi"/>
          <w:sz w:val="24"/>
          <w:szCs w:val="24"/>
        </w:rPr>
      </w:pPr>
      <w:r>
        <w:rPr>
          <w:rFonts w:cstheme="minorHAnsi"/>
          <w:sz w:val="24"/>
          <w:szCs w:val="24"/>
        </w:rPr>
        <w:t>stanovení pravidel pro ovládané zahraniční společnosti;</w:t>
      </w:r>
    </w:p>
    <w:p w14:paraId="56549F5F" w14:textId="77777777" w:rsidR="00CC4A4F" w:rsidRDefault="00CC4A4F" w:rsidP="000651A8">
      <w:pPr>
        <w:pStyle w:val="Odstavecseseznamem"/>
        <w:numPr>
          <w:ilvl w:val="0"/>
          <w:numId w:val="10"/>
        </w:numPr>
        <w:spacing w:before="120" w:after="120"/>
        <w:ind w:left="284" w:hanging="284"/>
        <w:jc w:val="both"/>
        <w:rPr>
          <w:rFonts w:cstheme="minorHAnsi"/>
          <w:sz w:val="24"/>
          <w:szCs w:val="24"/>
        </w:rPr>
      </w:pPr>
      <w:r>
        <w:rPr>
          <w:rFonts w:cstheme="minorHAnsi"/>
          <w:sz w:val="24"/>
          <w:szCs w:val="24"/>
        </w:rPr>
        <w:t>stanovení pravidel pro tzv. hybridní nesoulady a hybridní struktury, které umožňují dvojí zdanění stejného příjmu ve dvou nebo více státech;</w:t>
      </w:r>
    </w:p>
    <w:p w14:paraId="0772F215" w14:textId="77777777" w:rsidR="00CC4A4F" w:rsidRDefault="00CC4A4F" w:rsidP="000651A8">
      <w:pPr>
        <w:pStyle w:val="Odstavecseseznamem"/>
        <w:numPr>
          <w:ilvl w:val="0"/>
          <w:numId w:val="10"/>
        </w:numPr>
        <w:spacing w:before="120" w:after="120"/>
        <w:ind w:left="284" w:hanging="284"/>
        <w:jc w:val="both"/>
        <w:rPr>
          <w:rFonts w:cstheme="minorHAnsi"/>
          <w:sz w:val="24"/>
          <w:szCs w:val="24"/>
        </w:rPr>
      </w:pPr>
      <w:r>
        <w:rPr>
          <w:rFonts w:cstheme="minorHAnsi"/>
          <w:sz w:val="24"/>
          <w:szCs w:val="24"/>
        </w:rPr>
        <w:t xml:space="preserve">stanovení obecného pravidla proti </w:t>
      </w:r>
      <w:r w:rsidRPr="00B32D31">
        <w:rPr>
          <w:rFonts w:cstheme="minorHAnsi"/>
          <w:sz w:val="24"/>
          <w:szCs w:val="24"/>
        </w:rPr>
        <w:t>„</w:t>
      </w:r>
      <w:r w:rsidRPr="00814652">
        <w:rPr>
          <w:rFonts w:cstheme="minorHAnsi"/>
          <w:sz w:val="24"/>
          <w:szCs w:val="24"/>
        </w:rPr>
        <w:t>zneužití daňového práva</w:t>
      </w:r>
      <w:r w:rsidRPr="00B32D31">
        <w:rPr>
          <w:rFonts w:cstheme="minorHAnsi"/>
          <w:sz w:val="24"/>
          <w:szCs w:val="24"/>
        </w:rPr>
        <w:t>“</w:t>
      </w:r>
      <w:r w:rsidR="00D239DE">
        <w:rPr>
          <w:rFonts w:cstheme="minorHAnsi"/>
          <w:sz w:val="24"/>
          <w:szCs w:val="24"/>
        </w:rPr>
        <w:t>.</w:t>
      </w:r>
    </w:p>
    <w:p w14:paraId="5FBDB8B0" w14:textId="77777777" w:rsidR="001F3E90" w:rsidRPr="002A1D75" w:rsidRDefault="001F3E90" w:rsidP="00971103">
      <w:pPr>
        <w:spacing w:before="120" w:after="120"/>
        <w:jc w:val="both"/>
        <w:rPr>
          <w:rFonts w:cstheme="minorHAnsi"/>
          <w:sz w:val="24"/>
          <w:szCs w:val="24"/>
        </w:rPr>
      </w:pPr>
      <w:r w:rsidRPr="00CC4A4F">
        <w:rPr>
          <w:rFonts w:cstheme="minorHAnsi"/>
          <w:sz w:val="24"/>
          <w:szCs w:val="24"/>
        </w:rPr>
        <w:t xml:space="preserve">Všechna tato opatření se vztahují na právnické osoby, a to na všechny poplatníky podléhající v jednom nebo </w:t>
      </w:r>
      <w:r w:rsidR="006F27CA">
        <w:rPr>
          <w:rFonts w:cstheme="minorHAnsi"/>
          <w:sz w:val="24"/>
          <w:szCs w:val="24"/>
        </w:rPr>
        <w:t xml:space="preserve">ve </w:t>
      </w:r>
      <w:r w:rsidRPr="00CC4A4F">
        <w:rPr>
          <w:rFonts w:cstheme="minorHAnsi"/>
          <w:sz w:val="24"/>
          <w:szCs w:val="24"/>
        </w:rPr>
        <w:t>více členských státech EU dani z příjmů právnických osob.</w:t>
      </w:r>
      <w:r w:rsidR="002A1D75" w:rsidRPr="002A1D75">
        <w:rPr>
          <w:rFonts w:eastAsia="Calibri" w:cstheme="minorHAnsi"/>
        </w:rPr>
        <w:t xml:space="preserve"> </w:t>
      </w:r>
      <w:r w:rsidR="00A4322C" w:rsidRPr="00A3736E">
        <w:rPr>
          <w:rFonts w:ascii="Calibri" w:hAnsi="Calibri" w:cs="Calibri"/>
          <w:sz w:val="24"/>
          <w:szCs w:val="24"/>
        </w:rPr>
        <w:t>I</w:t>
      </w:r>
      <w:r w:rsidR="002B4451" w:rsidRPr="00A3736E">
        <w:rPr>
          <w:rFonts w:ascii="Calibri" w:hAnsi="Calibri" w:cs="Calibri"/>
          <w:sz w:val="24"/>
          <w:szCs w:val="24"/>
        </w:rPr>
        <w:t>mplementace směrnic</w:t>
      </w:r>
      <w:r w:rsidR="009F5BF5">
        <w:rPr>
          <w:rFonts w:ascii="Calibri" w:hAnsi="Calibri" w:cs="Calibri"/>
          <w:sz w:val="24"/>
          <w:szCs w:val="24"/>
        </w:rPr>
        <w:t>e</w:t>
      </w:r>
      <w:r w:rsidR="002B4451" w:rsidRPr="00A3736E">
        <w:rPr>
          <w:rFonts w:ascii="Calibri" w:hAnsi="Calibri" w:cs="Calibri"/>
          <w:sz w:val="24"/>
          <w:szCs w:val="24"/>
        </w:rPr>
        <w:t xml:space="preserve"> ATAD</w:t>
      </w:r>
      <w:r w:rsidR="002B4451" w:rsidRPr="00B93F78">
        <w:rPr>
          <w:rFonts w:ascii="Calibri" w:hAnsi="Calibri" w:cs="Calibri"/>
          <w:sz w:val="24"/>
          <w:szCs w:val="24"/>
        </w:rPr>
        <w:t xml:space="preserve"> u poplatníků, jejichž zdaňovací období je kalendářní rok, platila až pro stanovení základu daně za zdaňovací období roku 2020.</w:t>
      </w:r>
    </w:p>
    <w:p w14:paraId="0C632676" w14:textId="77777777" w:rsidR="00F30091" w:rsidRDefault="000B2C4E" w:rsidP="00F30091">
      <w:pPr>
        <w:spacing w:before="120" w:after="120"/>
        <w:jc w:val="both"/>
        <w:rPr>
          <w:rFonts w:cstheme="minorHAnsi"/>
          <w:sz w:val="24"/>
          <w:szCs w:val="24"/>
        </w:rPr>
      </w:pPr>
      <w:r>
        <w:rPr>
          <w:rFonts w:cstheme="minorHAnsi"/>
          <w:sz w:val="24"/>
          <w:szCs w:val="24"/>
        </w:rPr>
        <w:t xml:space="preserve">Mezinárodní spolupráce v oblasti přímých daní je upravena zákonem č. 164/2013 Sb., </w:t>
      </w:r>
      <w:r w:rsidR="001847D2">
        <w:rPr>
          <w:rFonts w:cstheme="minorHAnsi"/>
          <w:sz w:val="24"/>
          <w:szCs w:val="24"/>
        </w:rPr>
        <w:t>který prošel</w:t>
      </w:r>
      <w:r w:rsidR="001847D2" w:rsidDel="00145FE0">
        <w:rPr>
          <w:rFonts w:cstheme="minorHAnsi"/>
          <w:sz w:val="24"/>
          <w:szCs w:val="24"/>
        </w:rPr>
        <w:t xml:space="preserve"> </w:t>
      </w:r>
      <w:r w:rsidR="001847D2">
        <w:rPr>
          <w:rFonts w:cstheme="minorHAnsi"/>
          <w:sz w:val="24"/>
          <w:szCs w:val="24"/>
        </w:rPr>
        <w:t>změnami v důsledku transpoz</w:t>
      </w:r>
      <w:r>
        <w:rPr>
          <w:rFonts w:cstheme="minorHAnsi"/>
          <w:sz w:val="24"/>
          <w:szCs w:val="24"/>
        </w:rPr>
        <w:t>i</w:t>
      </w:r>
      <w:r w:rsidR="001847D2">
        <w:rPr>
          <w:rFonts w:cstheme="minorHAnsi"/>
          <w:sz w:val="24"/>
          <w:szCs w:val="24"/>
        </w:rPr>
        <w:t>ce</w:t>
      </w:r>
      <w:r>
        <w:rPr>
          <w:rFonts w:cstheme="minorHAnsi"/>
          <w:sz w:val="24"/>
          <w:szCs w:val="24"/>
        </w:rPr>
        <w:t xml:space="preserve"> směrnice DAC</w:t>
      </w:r>
      <w:r w:rsidR="001847D2">
        <w:rPr>
          <w:rFonts w:cstheme="minorHAnsi"/>
          <w:sz w:val="24"/>
          <w:szCs w:val="24"/>
        </w:rPr>
        <w:t xml:space="preserve">6. </w:t>
      </w:r>
      <w:r w:rsidR="00F30091" w:rsidRPr="00B03A98">
        <w:rPr>
          <w:rFonts w:cstheme="minorHAnsi"/>
          <w:sz w:val="24"/>
          <w:szCs w:val="24"/>
          <w:lang w:eastAsia="cs-CZ"/>
        </w:rPr>
        <w:t xml:space="preserve">Cílem této směrnice je </w:t>
      </w:r>
      <w:r w:rsidR="00F30091" w:rsidRPr="002A1D75">
        <w:rPr>
          <w:rFonts w:cstheme="minorHAnsi"/>
          <w:sz w:val="24"/>
          <w:szCs w:val="24"/>
        </w:rPr>
        <w:t>zvýšení transparentnosti a přístupu k informacím, což má mít za následek zlepšení</w:t>
      </w:r>
      <w:r w:rsidR="00F30091" w:rsidRPr="002A1D75">
        <w:rPr>
          <w:rFonts w:cstheme="minorHAnsi"/>
          <w:sz w:val="24"/>
          <w:szCs w:val="24"/>
          <w:lang w:eastAsia="cs-CZ"/>
        </w:rPr>
        <w:t xml:space="preserve"> fungování</w:t>
      </w:r>
      <w:r w:rsidR="00F30091" w:rsidRPr="00B03A98">
        <w:rPr>
          <w:rFonts w:cstheme="minorHAnsi"/>
          <w:sz w:val="24"/>
          <w:szCs w:val="24"/>
          <w:lang w:eastAsia="cs-CZ"/>
        </w:rPr>
        <w:t xml:space="preserve"> vnitřního trhu odrazením od používání přeshraničních uspořádání agresivního daňového plánování</w:t>
      </w:r>
      <w:r w:rsidR="00F30091">
        <w:rPr>
          <w:rStyle w:val="Znakapoznpodarou"/>
          <w:rFonts w:cstheme="minorHAnsi"/>
          <w:sz w:val="24"/>
          <w:szCs w:val="24"/>
        </w:rPr>
        <w:footnoteReference w:id="12"/>
      </w:r>
      <w:r w:rsidR="00F30091" w:rsidRPr="00B03A98">
        <w:rPr>
          <w:rFonts w:cstheme="minorHAnsi"/>
          <w:sz w:val="24"/>
          <w:szCs w:val="24"/>
          <w:lang w:eastAsia="cs-CZ"/>
        </w:rPr>
        <w:t>.</w:t>
      </w:r>
      <w:r w:rsidR="00F30091" w:rsidRPr="00B03A98">
        <w:rPr>
          <w:rFonts w:cstheme="minorHAnsi"/>
          <w:sz w:val="24"/>
          <w:szCs w:val="24"/>
        </w:rPr>
        <w:t xml:space="preserve"> </w:t>
      </w:r>
      <w:r w:rsidR="00F30091">
        <w:rPr>
          <w:rFonts w:cstheme="minorHAnsi"/>
          <w:sz w:val="24"/>
          <w:szCs w:val="24"/>
        </w:rPr>
        <w:t xml:space="preserve">Směrnice DAC6 byla do české právní úpravy transponována zákonem č. 343/2020 Sb. s účinností od 29. 8. 2020. </w:t>
      </w:r>
    </w:p>
    <w:p w14:paraId="52C72D45" w14:textId="07A2365A" w:rsidR="002C6FEA" w:rsidRDefault="001847D2" w:rsidP="00AD2433">
      <w:pPr>
        <w:spacing w:before="120" w:after="240"/>
        <w:jc w:val="both"/>
        <w:rPr>
          <w:rFonts w:cstheme="minorHAnsi"/>
          <w:sz w:val="24"/>
          <w:szCs w:val="24"/>
        </w:rPr>
      </w:pPr>
      <w:r>
        <w:rPr>
          <w:rFonts w:cstheme="minorHAnsi"/>
          <w:sz w:val="24"/>
          <w:szCs w:val="24"/>
        </w:rPr>
        <w:t>Tato s</w:t>
      </w:r>
      <w:r w:rsidR="00B03A98">
        <w:rPr>
          <w:rFonts w:cstheme="minorHAnsi"/>
          <w:sz w:val="24"/>
          <w:szCs w:val="24"/>
        </w:rPr>
        <w:t xml:space="preserve">měrnice se týká povinné automatické výměny informací (dále také </w:t>
      </w:r>
      <w:r w:rsidR="00B03A98" w:rsidRPr="00346A32">
        <w:rPr>
          <w:rFonts w:cstheme="minorHAnsi"/>
          <w:sz w:val="24"/>
          <w:szCs w:val="24"/>
        </w:rPr>
        <w:t>„</w:t>
      </w:r>
      <w:r w:rsidR="00B03A98" w:rsidRPr="00814652">
        <w:rPr>
          <w:rFonts w:cstheme="minorHAnsi"/>
          <w:sz w:val="24"/>
          <w:szCs w:val="24"/>
        </w:rPr>
        <w:t>AVI</w:t>
      </w:r>
      <w:r w:rsidR="00B03A98" w:rsidRPr="00346A32">
        <w:rPr>
          <w:rFonts w:cstheme="minorHAnsi"/>
          <w:sz w:val="24"/>
          <w:szCs w:val="24"/>
        </w:rPr>
        <w:t>“</w:t>
      </w:r>
      <w:r w:rsidR="00B03A98">
        <w:rPr>
          <w:rFonts w:cstheme="minorHAnsi"/>
          <w:sz w:val="24"/>
          <w:szCs w:val="24"/>
        </w:rPr>
        <w:t>)</w:t>
      </w:r>
      <w:r w:rsidR="000D3D2C">
        <w:rPr>
          <w:rFonts w:cstheme="minorHAnsi"/>
          <w:sz w:val="24"/>
          <w:szCs w:val="24"/>
        </w:rPr>
        <w:t xml:space="preserve"> </w:t>
      </w:r>
      <w:r w:rsidR="00FE7748">
        <w:rPr>
          <w:rFonts w:cstheme="minorHAnsi"/>
          <w:sz w:val="24"/>
          <w:szCs w:val="24"/>
        </w:rPr>
        <w:t>o</w:t>
      </w:r>
      <w:r w:rsidR="000D3D2C">
        <w:rPr>
          <w:rFonts w:cstheme="minorHAnsi"/>
          <w:sz w:val="24"/>
          <w:szCs w:val="24"/>
        </w:rPr>
        <w:t> </w:t>
      </w:r>
      <w:r w:rsidR="00B42441">
        <w:rPr>
          <w:rFonts w:cstheme="minorHAnsi"/>
          <w:sz w:val="24"/>
          <w:szCs w:val="24"/>
        </w:rPr>
        <w:t>schématech potenciálně agresivního daňového plánování s přeshraničním prvkem</w:t>
      </w:r>
      <w:r w:rsidR="00B03A98" w:rsidRPr="00B03A98">
        <w:rPr>
          <w:rFonts w:cstheme="minorHAnsi"/>
          <w:sz w:val="24"/>
          <w:szCs w:val="24"/>
          <w:lang w:eastAsia="cs-CZ"/>
        </w:rPr>
        <w:t xml:space="preserve">. </w:t>
      </w:r>
      <w:r w:rsidR="002C6FEA">
        <w:rPr>
          <w:rFonts w:cstheme="minorHAnsi"/>
          <w:sz w:val="24"/>
          <w:szCs w:val="24"/>
          <w:lang w:eastAsia="cs-CZ"/>
        </w:rPr>
        <w:t>Pro p</w:t>
      </w:r>
      <w:r w:rsidR="00590E11">
        <w:rPr>
          <w:rFonts w:cstheme="minorHAnsi"/>
          <w:sz w:val="24"/>
          <w:szCs w:val="24"/>
          <w:lang w:eastAsia="cs-CZ"/>
        </w:rPr>
        <w:t xml:space="preserve">ovinné osoby (zprostředkovatel, který </w:t>
      </w:r>
      <w:r w:rsidR="00FE7748">
        <w:rPr>
          <w:rFonts w:cstheme="minorHAnsi"/>
          <w:sz w:val="24"/>
          <w:szCs w:val="24"/>
          <w:lang w:eastAsia="cs-CZ"/>
        </w:rPr>
        <w:t>uspořádání navrhuje, nabízí a zavádí</w:t>
      </w:r>
      <w:r w:rsidR="00346A32">
        <w:rPr>
          <w:rFonts w:cstheme="minorHAnsi"/>
          <w:sz w:val="24"/>
          <w:szCs w:val="24"/>
          <w:lang w:eastAsia="cs-CZ"/>
        </w:rPr>
        <w:t>,</w:t>
      </w:r>
      <w:r w:rsidR="00FE7748">
        <w:rPr>
          <w:rFonts w:cstheme="minorHAnsi"/>
          <w:sz w:val="24"/>
          <w:szCs w:val="24"/>
          <w:lang w:eastAsia="cs-CZ"/>
        </w:rPr>
        <w:t xml:space="preserve"> nebo uživatel takového uspořádání) </w:t>
      </w:r>
      <w:r w:rsidR="002C6FEA">
        <w:rPr>
          <w:rFonts w:cstheme="minorHAnsi"/>
          <w:sz w:val="24"/>
          <w:szCs w:val="24"/>
          <w:lang w:eastAsia="cs-CZ"/>
        </w:rPr>
        <w:t>zavedla</w:t>
      </w:r>
      <w:r w:rsidR="00FE7748">
        <w:rPr>
          <w:rFonts w:cstheme="minorHAnsi"/>
          <w:sz w:val="24"/>
          <w:szCs w:val="24"/>
          <w:lang w:eastAsia="cs-CZ"/>
        </w:rPr>
        <w:t xml:space="preserve"> povinn</w:t>
      </w:r>
      <w:r w:rsidR="002C6FEA">
        <w:rPr>
          <w:rFonts w:cstheme="minorHAnsi"/>
          <w:sz w:val="24"/>
          <w:szCs w:val="24"/>
          <w:lang w:eastAsia="cs-CZ"/>
        </w:rPr>
        <w:t>ost</w:t>
      </w:r>
      <w:r w:rsidR="00FE7748">
        <w:rPr>
          <w:rFonts w:cstheme="minorHAnsi"/>
          <w:sz w:val="24"/>
          <w:szCs w:val="24"/>
          <w:lang w:eastAsia="cs-CZ"/>
        </w:rPr>
        <w:t xml:space="preserve"> </w:t>
      </w:r>
      <w:r w:rsidR="00590E11">
        <w:rPr>
          <w:rFonts w:cstheme="minorHAnsi"/>
          <w:sz w:val="24"/>
          <w:szCs w:val="24"/>
          <w:lang w:eastAsia="cs-CZ"/>
        </w:rPr>
        <w:t>oznamovat přeshra</w:t>
      </w:r>
      <w:r w:rsidR="00FE7748">
        <w:rPr>
          <w:rFonts w:cstheme="minorHAnsi"/>
          <w:sz w:val="24"/>
          <w:szCs w:val="24"/>
          <w:lang w:eastAsia="cs-CZ"/>
        </w:rPr>
        <w:t xml:space="preserve">niční uspořádání, která mají za následek získání daňové výhody, obcházení společného standardu </w:t>
      </w:r>
      <w:r w:rsidR="00FE7748" w:rsidRPr="00CC3C0F">
        <w:rPr>
          <w:rFonts w:cstheme="minorHAnsi"/>
          <w:sz w:val="24"/>
          <w:szCs w:val="24"/>
          <w:lang w:eastAsia="cs-CZ"/>
        </w:rPr>
        <w:t>pro oznamování CRS</w:t>
      </w:r>
      <w:r w:rsidR="002C6FEA" w:rsidRPr="00CC3C0F">
        <w:rPr>
          <w:rStyle w:val="Znakapoznpodarou"/>
          <w:rFonts w:cstheme="minorHAnsi"/>
          <w:sz w:val="24"/>
          <w:szCs w:val="24"/>
          <w:lang w:eastAsia="cs-CZ"/>
        </w:rPr>
        <w:footnoteReference w:id="13"/>
      </w:r>
      <w:r w:rsidR="00FE7748">
        <w:rPr>
          <w:rFonts w:cstheme="minorHAnsi"/>
          <w:sz w:val="24"/>
          <w:szCs w:val="24"/>
          <w:lang w:eastAsia="cs-CZ"/>
        </w:rPr>
        <w:t xml:space="preserve"> a</w:t>
      </w:r>
      <w:r w:rsidR="003F7150">
        <w:rPr>
          <w:rFonts w:cstheme="minorHAnsi"/>
          <w:sz w:val="24"/>
          <w:szCs w:val="24"/>
          <w:lang w:eastAsia="cs-CZ"/>
        </w:rPr>
        <w:t> </w:t>
      </w:r>
      <w:r w:rsidR="00FE7748">
        <w:rPr>
          <w:rFonts w:cstheme="minorHAnsi"/>
          <w:sz w:val="24"/>
          <w:szCs w:val="24"/>
          <w:lang w:eastAsia="cs-CZ"/>
        </w:rPr>
        <w:t xml:space="preserve">zastírání skutečného vlastníka. Oznámení </w:t>
      </w:r>
      <w:r w:rsidR="00CC3C0F">
        <w:rPr>
          <w:rFonts w:cstheme="minorHAnsi"/>
          <w:sz w:val="24"/>
          <w:szCs w:val="24"/>
          <w:lang w:eastAsia="cs-CZ"/>
        </w:rPr>
        <w:t xml:space="preserve">podaná v ČR </w:t>
      </w:r>
      <w:r w:rsidR="00FE7748">
        <w:rPr>
          <w:rFonts w:cstheme="minorHAnsi"/>
          <w:sz w:val="24"/>
          <w:szCs w:val="24"/>
          <w:lang w:eastAsia="cs-CZ"/>
        </w:rPr>
        <w:t>jsou elektronicky podávána na SFÚ, kde jsou zkontrolována z hlediska formy a obsahu. Po nahrání do agregační databáze</w:t>
      </w:r>
      <w:r w:rsidR="002C6FEA">
        <w:rPr>
          <w:rFonts w:cstheme="minorHAnsi"/>
          <w:sz w:val="24"/>
          <w:szCs w:val="24"/>
          <w:lang w:eastAsia="cs-CZ"/>
        </w:rPr>
        <w:t xml:space="preserve">, kde je proveden překlad volných polí, jsou údaje odeslány z úrovně GFŘ na centrální uložiště EU. </w:t>
      </w:r>
      <w:r w:rsidR="00590E11">
        <w:rPr>
          <w:rFonts w:cstheme="minorHAnsi"/>
          <w:sz w:val="24"/>
          <w:szCs w:val="24"/>
        </w:rPr>
        <w:t xml:space="preserve">Ústřední kontaktní orgán EU </w:t>
      </w:r>
      <w:r w:rsidR="002C6FEA">
        <w:rPr>
          <w:rFonts w:cstheme="minorHAnsi"/>
          <w:sz w:val="24"/>
          <w:szCs w:val="24"/>
        </w:rPr>
        <w:t xml:space="preserve">zde </w:t>
      </w:r>
      <w:r w:rsidR="00590E11">
        <w:rPr>
          <w:rFonts w:cstheme="minorHAnsi"/>
          <w:sz w:val="24"/>
          <w:szCs w:val="24"/>
        </w:rPr>
        <w:t xml:space="preserve">shromažďuje </w:t>
      </w:r>
      <w:r w:rsidR="002C6FEA">
        <w:rPr>
          <w:rFonts w:cstheme="minorHAnsi"/>
          <w:sz w:val="24"/>
          <w:szCs w:val="24"/>
        </w:rPr>
        <w:t xml:space="preserve">podaná oznámení </w:t>
      </w:r>
      <w:r w:rsidR="00590E11">
        <w:rPr>
          <w:rFonts w:cstheme="minorHAnsi"/>
          <w:sz w:val="24"/>
          <w:szCs w:val="24"/>
        </w:rPr>
        <w:t xml:space="preserve">ze všech finančních správ členských států EU, na jejichž základě podává následně informace finanční správě dotčené země. </w:t>
      </w:r>
      <w:r w:rsidR="002C6FEA">
        <w:rPr>
          <w:rFonts w:cstheme="minorHAnsi"/>
          <w:sz w:val="24"/>
          <w:szCs w:val="24"/>
        </w:rPr>
        <w:t>Agendu oznámení podaných v zahraničí a týkající</w:t>
      </w:r>
      <w:r w:rsidR="00AE2CCA">
        <w:rPr>
          <w:rFonts w:cstheme="minorHAnsi"/>
          <w:sz w:val="24"/>
          <w:szCs w:val="24"/>
        </w:rPr>
        <w:t>ch</w:t>
      </w:r>
      <w:r w:rsidR="002C6FEA">
        <w:rPr>
          <w:rFonts w:cstheme="minorHAnsi"/>
          <w:sz w:val="24"/>
          <w:szCs w:val="24"/>
        </w:rPr>
        <w:t xml:space="preserve"> se subjektů z ČR zajišťuje GFŘ. </w:t>
      </w:r>
    </w:p>
    <w:p w14:paraId="3E2096F2" w14:textId="255123DB" w:rsidR="00F47AF6" w:rsidRDefault="0093232C" w:rsidP="0097746B">
      <w:pPr>
        <w:pStyle w:val="Zkladntext1"/>
        <w:keepNext/>
        <w:keepLines/>
        <w:shd w:val="clear" w:color="auto" w:fill="auto"/>
        <w:spacing w:before="120" w:after="120" w:line="259" w:lineRule="auto"/>
        <w:rPr>
          <w:rFonts w:asciiTheme="minorHAnsi" w:hAnsiTheme="minorHAnsi" w:cstheme="minorHAnsi"/>
          <w:b/>
          <w:color w:val="000000"/>
          <w:lang w:eastAsia="cs-CZ" w:bidi="cs-CZ"/>
        </w:rPr>
      </w:pPr>
      <w:r w:rsidRPr="006D76C0">
        <w:rPr>
          <w:rFonts w:asciiTheme="minorHAnsi" w:hAnsiTheme="minorHAnsi" w:cstheme="minorHAnsi"/>
          <w:b/>
          <w:color w:val="000000"/>
          <w:lang w:eastAsia="cs-CZ" w:bidi="cs-CZ"/>
        </w:rPr>
        <w:t>Schéma č. 1</w:t>
      </w:r>
      <w:r w:rsidR="00346A32">
        <w:rPr>
          <w:rFonts w:asciiTheme="minorHAnsi" w:hAnsiTheme="minorHAnsi" w:cstheme="minorHAnsi"/>
          <w:b/>
          <w:color w:val="000000"/>
          <w:lang w:eastAsia="cs-CZ" w:bidi="cs-CZ"/>
        </w:rPr>
        <w:t>:</w:t>
      </w:r>
      <w:r w:rsidRPr="006D76C0">
        <w:rPr>
          <w:rFonts w:asciiTheme="minorHAnsi" w:hAnsiTheme="minorHAnsi" w:cstheme="minorHAnsi"/>
          <w:b/>
          <w:color w:val="000000"/>
          <w:lang w:eastAsia="cs-CZ" w:bidi="cs-CZ"/>
        </w:rPr>
        <w:t xml:space="preserve"> </w:t>
      </w:r>
      <w:r w:rsidR="00704009" w:rsidRPr="006D76C0">
        <w:rPr>
          <w:rFonts w:asciiTheme="minorHAnsi" w:hAnsiTheme="minorHAnsi" w:cstheme="minorHAnsi"/>
          <w:b/>
          <w:color w:val="000000"/>
          <w:lang w:eastAsia="cs-CZ" w:bidi="cs-CZ"/>
        </w:rPr>
        <w:t xml:space="preserve">Působnost kontrolovaných osob při správě </w:t>
      </w:r>
      <w:r w:rsidR="00DC02AC">
        <w:rPr>
          <w:rFonts w:asciiTheme="minorHAnsi" w:hAnsiTheme="minorHAnsi" w:cstheme="minorHAnsi"/>
          <w:b/>
          <w:color w:val="000000"/>
          <w:lang w:eastAsia="cs-CZ" w:bidi="cs-CZ"/>
        </w:rPr>
        <w:t>DPPO</w:t>
      </w: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29"/>
        <w:gridCol w:w="7943"/>
      </w:tblGrid>
      <w:tr w:rsidR="003E71CF" w14:paraId="123BA69F" w14:textId="77777777" w:rsidTr="002267DE">
        <w:trPr>
          <w:trHeight w:val="879"/>
        </w:trPr>
        <w:tc>
          <w:tcPr>
            <w:tcW w:w="1129" w:type="dxa"/>
            <w:shd w:val="clear" w:color="auto" w:fill="F2F2F2" w:themeFill="background1" w:themeFillShade="F2"/>
            <w:vAlign w:val="center"/>
          </w:tcPr>
          <w:p w14:paraId="034B8474" w14:textId="77777777" w:rsidR="003E71CF" w:rsidRPr="003E71CF" w:rsidRDefault="00F85A91" w:rsidP="003D28D0">
            <w:pPr>
              <w:pStyle w:val="Zkladntext1"/>
              <w:shd w:val="clear" w:color="auto" w:fill="auto"/>
              <w:spacing w:after="220"/>
              <w:jc w:val="center"/>
              <w:rPr>
                <w:rFonts w:asciiTheme="minorHAnsi" w:hAnsiTheme="minorHAnsi" w:cstheme="minorHAnsi"/>
                <w:b/>
                <w:color w:val="000000"/>
                <w:sz w:val="32"/>
                <w:szCs w:val="32"/>
                <w:lang w:eastAsia="cs-CZ" w:bidi="cs-CZ"/>
              </w:rPr>
            </w:pPr>
            <w:r>
              <w:rPr>
                <w:rFonts w:asciiTheme="minorHAnsi" w:hAnsiTheme="minorHAnsi" w:cstheme="minorHAnsi"/>
                <w:b/>
                <w:noProof/>
                <w:color w:val="000000"/>
                <w:sz w:val="32"/>
                <w:szCs w:val="32"/>
                <w:lang w:eastAsia="cs-CZ" w:bidi="cs-CZ"/>
              </w:rPr>
              <mc:AlternateContent>
                <mc:Choice Requires="wpg">
                  <w:drawing>
                    <wp:anchor distT="0" distB="0" distL="114300" distR="114300" simplePos="0" relativeHeight="251658241" behindDoc="0" locked="0" layoutInCell="1" allowOverlap="1" wp14:anchorId="1D3B2D54" wp14:editId="02469F53">
                      <wp:simplePos x="0" y="0"/>
                      <wp:positionH relativeFrom="column">
                        <wp:posOffset>-65583</wp:posOffset>
                      </wp:positionH>
                      <wp:positionV relativeFrom="paragraph">
                        <wp:posOffset>-660</wp:posOffset>
                      </wp:positionV>
                      <wp:extent cx="1175116" cy="3980815"/>
                      <wp:effectExtent l="0" t="0" r="6350" b="635"/>
                      <wp:wrapNone/>
                      <wp:docPr id="2" name="Skupina 2"/>
                      <wp:cNvGraphicFramePr/>
                      <a:graphic xmlns:a="http://schemas.openxmlformats.org/drawingml/2006/main">
                        <a:graphicData uri="http://schemas.microsoft.com/office/word/2010/wordprocessingGroup">
                          <wpg:wgp>
                            <wpg:cNvGrpSpPr/>
                            <wpg:grpSpPr>
                              <a:xfrm>
                                <a:off x="0" y="0"/>
                                <a:ext cx="1175116" cy="3980815"/>
                                <a:chOff x="0" y="0"/>
                                <a:chExt cx="1175116" cy="3980815"/>
                              </a:xfrm>
                            </wpg:grpSpPr>
                            <wps:wsp>
                              <wps:cNvPr id="38" name="Obdélník 38"/>
                              <wps:cNvSpPr/>
                              <wps:spPr>
                                <a:xfrm>
                                  <a:off x="537667" y="3182112"/>
                                  <a:ext cx="637449" cy="798703"/>
                                </a:xfrm>
                                <a:prstGeom prst="rect">
                                  <a:avLst/>
                                </a:prstGeom>
                                <a:solidFill>
                                  <a:srgbClr val="EDD4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7C5D8F" w14:textId="77777777" w:rsidR="005257FF" w:rsidRPr="00E05701" w:rsidRDefault="005257FF" w:rsidP="00E05701">
                                    <w:pPr>
                                      <w:spacing w:after="0"/>
                                      <w:jc w:val="center"/>
                                      <w:rPr>
                                        <w:b/>
                                        <w:color w:val="000000" w:themeColor="text1"/>
                                        <w:sz w:val="32"/>
                                        <w:szCs w:val="32"/>
                                      </w:rPr>
                                    </w:pPr>
                                    <w:r w:rsidRPr="00E05701">
                                      <w:rPr>
                                        <w:b/>
                                        <w:color w:val="000000" w:themeColor="text1"/>
                                        <w:sz w:val="32"/>
                                        <w:szCs w:val="32"/>
                                      </w:rPr>
                                      <w:t>SFÚ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Skupina 1"/>
                              <wpg:cNvGrpSpPr/>
                              <wpg:grpSpPr>
                                <a:xfrm>
                                  <a:off x="0" y="0"/>
                                  <a:ext cx="1175116" cy="3478767"/>
                                  <a:chOff x="0" y="0"/>
                                  <a:chExt cx="1175116" cy="3478767"/>
                                </a:xfrm>
                              </wpg:grpSpPr>
                              <wps:wsp>
                                <wps:cNvPr id="33" name="Přímá spojnice se šipkou 33"/>
                                <wps:cNvCnPr/>
                                <wps:spPr>
                                  <a:xfrm flipH="1">
                                    <a:off x="321869" y="618134"/>
                                    <a:ext cx="3175" cy="21650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30" name="Skupina 30"/>
                                <wpg:cNvGrpSpPr/>
                                <wpg:grpSpPr>
                                  <a:xfrm>
                                    <a:off x="62179" y="2092147"/>
                                    <a:ext cx="485071" cy="1386620"/>
                                    <a:chOff x="0" y="0"/>
                                    <a:chExt cx="485140" cy="1386840"/>
                                  </a:xfrm>
                                </wpg:grpSpPr>
                                <wps:wsp>
                                  <wps:cNvPr id="31" name="Spojnice: pravoúhlá 31"/>
                                  <wps:cNvCnPr/>
                                  <wps:spPr>
                                    <a:xfrm>
                                      <a:off x="0" y="0"/>
                                      <a:ext cx="485140" cy="1386840"/>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wps:wsp>
                                  <wps:cNvPr id="32" name="Přímá spojnice se šipkou 28"/>
                                  <wps:cNvCnPr/>
                                  <wps:spPr>
                                    <a:xfrm rot="16200000" flipH="1">
                                      <a:off x="335280" y="436245"/>
                                      <a:ext cx="45719" cy="232410"/>
                                    </a:xfrm>
                                    <a:prstGeom prst="bentConnector3">
                                      <a:avLst>
                                        <a:gd name="adj1" fmla="val 99309"/>
                                      </a:avLst>
                                    </a:prstGeom>
                                    <a:ln>
                                      <a:tailEnd type="triangle"/>
                                    </a:ln>
                                  </wps:spPr>
                                  <wps:style>
                                    <a:lnRef idx="3">
                                      <a:schemeClr val="dk1"/>
                                    </a:lnRef>
                                    <a:fillRef idx="0">
                                      <a:schemeClr val="dk1"/>
                                    </a:fillRef>
                                    <a:effectRef idx="2">
                                      <a:schemeClr val="dk1"/>
                                    </a:effectRef>
                                    <a:fontRef idx="minor">
                                      <a:schemeClr val="tx1"/>
                                    </a:fontRef>
                                  </wps:style>
                                  <wps:bodyPr/>
                                </wps:wsp>
                              </wpg:grpSp>
                              <wps:wsp>
                                <wps:cNvPr id="36" name="Obdélník 36"/>
                                <wps:cNvSpPr/>
                                <wps:spPr>
                                  <a:xfrm>
                                    <a:off x="537667" y="2498140"/>
                                    <a:ext cx="637449" cy="499666"/>
                                  </a:xfrm>
                                  <a:prstGeom prst="rect">
                                    <a:avLst/>
                                  </a:prstGeom>
                                  <a:solidFill>
                                    <a:srgbClr val="EDD4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6A8E05" w14:textId="77777777" w:rsidR="005257FF" w:rsidRPr="00E05701" w:rsidRDefault="005257FF" w:rsidP="00E05701">
                                      <w:pPr>
                                        <w:spacing w:after="0"/>
                                        <w:jc w:val="center"/>
                                        <w:rPr>
                                          <w:b/>
                                          <w:color w:val="000000" w:themeColor="text1"/>
                                          <w:sz w:val="32"/>
                                          <w:szCs w:val="32"/>
                                        </w:rPr>
                                      </w:pPr>
                                      <w:r w:rsidRPr="00E05701">
                                        <w:rPr>
                                          <w:b/>
                                          <w:color w:val="000000" w:themeColor="text1"/>
                                          <w:sz w:val="32"/>
                                          <w:szCs w:val="32"/>
                                        </w:rPr>
                                        <w:t>FÚ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bdélník 34"/>
                                <wps:cNvSpPr/>
                                <wps:spPr>
                                  <a:xfrm>
                                    <a:off x="3658" y="0"/>
                                    <a:ext cx="636905" cy="638810"/>
                                  </a:xfrm>
                                  <a:prstGeom prst="rect">
                                    <a:avLst/>
                                  </a:prstGeom>
                                  <a:solidFill>
                                    <a:srgbClr val="AF19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588F7" w14:textId="77777777" w:rsidR="005257FF" w:rsidRPr="00E05701" w:rsidRDefault="005257FF" w:rsidP="00E05701">
                                      <w:pPr>
                                        <w:spacing w:after="0"/>
                                        <w:jc w:val="center"/>
                                        <w:rPr>
                                          <w:b/>
                                          <w:color w:val="FFFFFF" w:themeColor="background1"/>
                                          <w:sz w:val="32"/>
                                          <w:szCs w:val="32"/>
                                        </w:rPr>
                                      </w:pPr>
                                      <w:r w:rsidRPr="00E05701">
                                        <w:rPr>
                                          <w:b/>
                                          <w:color w:val="FFFFFF" w:themeColor="background1"/>
                                          <w:sz w:val="32"/>
                                          <w:szCs w:val="32"/>
                                        </w:rPr>
                                        <w:t>MF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bdélník 35"/>
                                <wps:cNvSpPr/>
                                <wps:spPr>
                                  <a:xfrm>
                                    <a:off x="0" y="830275"/>
                                    <a:ext cx="642528" cy="1479909"/>
                                  </a:xfrm>
                                  <a:prstGeom prst="rect">
                                    <a:avLst/>
                                  </a:prstGeom>
                                  <a:solidFill>
                                    <a:srgbClr val="CC7B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B19C1" w14:textId="77777777" w:rsidR="005257FF" w:rsidRPr="00E05701" w:rsidRDefault="005257FF" w:rsidP="00E05701">
                                      <w:pPr>
                                        <w:spacing w:after="0"/>
                                        <w:jc w:val="center"/>
                                        <w:rPr>
                                          <w:b/>
                                          <w:color w:val="000000" w:themeColor="text1"/>
                                          <w:sz w:val="32"/>
                                          <w:szCs w:val="32"/>
                                        </w:rPr>
                                      </w:pPr>
                                      <w:r w:rsidRPr="00E05701">
                                        <w:rPr>
                                          <w:b/>
                                          <w:color w:val="000000" w:themeColor="text1"/>
                                          <w:sz w:val="32"/>
                                          <w:szCs w:val="32"/>
                                        </w:rPr>
                                        <w:t>GFŘ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D3B2D54" id="Skupina 2" o:spid="_x0000_s1026" style="position:absolute;left:0;text-align:left;margin-left:-5.15pt;margin-top:-.05pt;width:92.55pt;height:313.45pt;z-index:251658241" coordsize="11751,3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kplAUAAHUcAAAOAAAAZHJzL2Uyb0RvYy54bWzsWUtz2zYQvnem/wHDeyOCpPjQRM64sp12&#10;JpN46nRyhkhQYkwCLAhZcv9Jjzn2kD/Qqyf/q4sXJVvyI2rjXOSDjOcCWOx++y348tWqqdEVFV3F&#10;2djDL3wPUZbzomKzsff7+7OfUg91krCC1JzRsXdNO+/V0Y8/vFy2IxrwOa8LKhAIYd1o2Y69uZTt&#10;aDDo8jltSPeCt5RBZ8lFQyRUxWxQCLIE6U09CHw/Hiy5KFrBc9p10HpiOr0jLb8saS7flWVHJarH&#10;HuxN6l+hf6fqd3D0koxmgrTzKrfbIHvsoiEVg0V7USdEErQQ1ZaopsoF73gpX+S8GfCyrHKqzwCn&#10;wf6d07wWfNHqs8xGy1nbqwlUe0dPe4vN316dC1QVYy/wECMNXNHF5aKtGEGBUs6ynY1gzGvRXrTn&#10;wjbMTE2dd1WKRv2Hk6CVVut1r1a6kiiHRoyTIcaxh3LoC7PUT/HQKD6fw+1szcvnp4/MHLiFB2p/&#10;/XaWLRhRt9ZT99/0dDEnLdXq75QOrJ5CsGijqHfT4ubvmt18vkTQqHWjB/aa6kYdKG2HmoZhEseJ&#10;h5Q+cBpgrHVNRk5jcZhEUWYUlmRp4odKfH9qMmpFJ19T3iBVGHsC7FybH7l600kz1A1Ry3e8roqz&#10;qq51Rcymk1qgKwI+cXpyEp1kVvqtYTVTgxlX04xE1QIKd6fSJXldUzWuZr/REuwIrjvQO9EeTPt1&#10;SJ5TJrHpmpOCmuWHPvy51ZXPqxn6pFqgklzC+r1sK8CNNEKcbLNLO15NpRoA+sn+Qxszk/sZemXO&#10;ZD+5qRgXuwTUcCq7shnvlGRUo7QkV9MVDFHFKS+uwZAEN0jUtflZBVf4hnTynAiAHgApgFP5Dn7K&#10;mi/HHrclD825+HNXuxoPlg69HloClI297o8FEdRD9a8MfCDDUaSwT1eiYRJARWz2TDd72KKZcLAM&#10;DMDd5rqoxsvaFUvBmw+AusdqVegiLIe1x14uhatMpIFYwO2cHh/rYYB3LZFv2EWbK+FKwcpE368+&#10;ENFaO5bgAG+58zsyumPOZqyayfjxQvKy0ra+1qtVPWCAQS6NDD2IWQeGg90GOn1//z/QRUmagJPD&#10;xZPR1wHdembv8t8D6EKnqPMvf918bm4+gUHwjwwiFuoo+vKpai/5AoUam9QdAEZOmA0SDiQMUKOy&#10;rtpf3LXbWBEGOI0B5AAEY5ziMDKqchgYQtQwCBjgeOg7J3MBx8GbtZxOClLN5nLCGQMw5MJY2B0D&#10;UpCprsNgmyRVfcoKJK9bCHtSVITNamqd+YlgF+6ChOLS7XY3iu0EovWk+xFsJ7SuJ+6BXnLltlre&#10;h14GshTEqUt+2LdCwIPbzgUtGvq+ikbEAU6MZQR+FuDIepEzjSgd+gm4seITOEzjGBDtSW4GE7GC&#10;QjcxhYo62PekE2s4ss41ApMmV/zmn3kNLhdadHrIvZRJP0TAHjv2Fp+YQqzuPcmY+MGTDLu5lwfs&#10;60nPQVl7bv8gkgebJPY+JNfMBYPHaea2G9jDYZCCl4F3RmEcRJbs9947TLDltkEYRPi2Cz7ZFpXR&#10;zwqLNqT4CH5UNjUwKOC1KMtC37FabbnayV3MOIQAQ7QNfd7PcNeExBDbb593QQK5nXfFJrp8fd4V&#10;RFmqYoGOG840N/OuKMviWIvvw8OWbR7yLpXTmQh6P2vZSXduJ217MJcn5l36baOPoYf06/nSr+cI&#10;bNEuTNCJhE1IHn+LCeMhvOhArNrCgjjzbQYSh2n6WJzaHwuOz3A2dC88hzeYb4wF9lnz8BTznE8x&#10;z4EF4Kvb/EBzzydjgSGtaegH8PZwmxlEAZBamzlGSZb19PKeB4n94WAySX5OT21UPcDBN4aD/vXq&#10;QA2eixpspg66DN+2dH5mv8Opj2ebdShvfi08+hcAAP//AwBQSwMEFAAGAAgAAAAhAKz4gvLfAAAA&#10;CQEAAA8AAABkcnMvZG93bnJldi54bWxMj0FLw0AQhe+C/2EZwVu7SauxxGxKKeqpCLaCeJtmp0lo&#10;djZkt0n6792c7G0e7/Hme9l6NI3oqXO1ZQXxPAJBXFhdc6ng+/A+W4FwHlljY5kUXMnBOr+/yzDV&#10;duAv6ve+FKGEXYoKKu/bVEpXVGTQzW1LHLyT7Qz6ILtS6g6HUG4auYiiRBqsOXyosKVtRcV5fzEK&#10;PgYcNsv4rd+dT9vr7+H582cXk1KPD+PmFYSn0f+HYcIP6JAHpqO9sHaiUTCLo2WITgeIyX95ClOO&#10;CpJFsgKZZ/J2Qf4HAAD//wMAUEsBAi0AFAAGAAgAAAAhALaDOJL+AAAA4QEAABMAAAAAAAAAAAAA&#10;AAAAAAAAAFtDb250ZW50X1R5cGVzXS54bWxQSwECLQAUAAYACAAAACEAOP0h/9YAAACUAQAACwAA&#10;AAAAAAAAAAAAAAAvAQAAX3JlbHMvLnJlbHNQSwECLQAUAAYACAAAACEA6C6JKZQFAAB1HAAADgAA&#10;AAAAAAAAAAAAAAAuAgAAZHJzL2Uyb0RvYy54bWxQSwECLQAUAAYACAAAACEArPiC8t8AAAAJAQAA&#10;DwAAAAAAAAAAAAAAAADuBwAAZHJzL2Rvd25yZXYueG1sUEsFBgAAAAAEAAQA8wAAAPoIAAAAAA==&#10;">
                      <v:rect id="Obdélník 38" o:spid="_x0000_s1027" style="position:absolute;left:5376;top:31821;width:6375;height:7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D9wwAAANsAAAAPAAAAZHJzL2Rvd25yZXYueG1sRE/Pa8Iw&#10;FL4P9j+EN9htTTdRRjXKNpiMHUSdFrw9mmdb27yEJtPqX28OgseP7/dk1ptWHKnztWUFr0kKgriw&#10;uuZSwebv++UdhA/IGlvLpOBMHmbTx4cJZtqeeEXHdShFDGGfoYIqBJdJ6YuKDPrEOuLI7W1nMETY&#10;lVJ3eIrhppVvaTqSBmuODRU6+qqoaNb/RoFrhsPD8nPR5pf57yi1213e5E6p56f+YwwiUB/u4pv7&#10;RysYxLHxS/wBcnoFAAD//wMAUEsBAi0AFAAGAAgAAAAhANvh9svuAAAAhQEAABMAAAAAAAAAAAAA&#10;AAAAAAAAAFtDb250ZW50X1R5cGVzXS54bWxQSwECLQAUAAYACAAAACEAWvQsW78AAAAVAQAACwAA&#10;AAAAAAAAAAAAAAAfAQAAX3JlbHMvLnJlbHNQSwECLQAUAAYACAAAACEASplA/cMAAADbAAAADwAA&#10;AAAAAAAAAAAAAAAHAgAAZHJzL2Rvd25yZXYueG1sUEsFBgAAAAADAAMAtwAAAPcCAAAAAA==&#10;" fillcolor="#edd4d9" stroked="f" strokeweight="1pt">
                        <v:textbox>
                          <w:txbxContent>
                            <w:p w14:paraId="7F7C5D8F" w14:textId="77777777" w:rsidR="005257FF" w:rsidRPr="00E05701" w:rsidRDefault="005257FF" w:rsidP="00E05701">
                              <w:pPr>
                                <w:spacing w:after="0"/>
                                <w:jc w:val="center"/>
                                <w:rPr>
                                  <w:b/>
                                  <w:color w:val="000000" w:themeColor="text1"/>
                                  <w:sz w:val="32"/>
                                  <w:szCs w:val="32"/>
                                </w:rPr>
                              </w:pPr>
                              <w:r w:rsidRPr="00E05701">
                                <w:rPr>
                                  <w:b/>
                                  <w:color w:val="000000" w:themeColor="text1"/>
                                  <w:sz w:val="32"/>
                                  <w:szCs w:val="32"/>
                                </w:rPr>
                                <w:t>SFÚ</w:t>
                              </w:r>
                            </w:p>
                          </w:txbxContent>
                        </v:textbox>
                      </v:rect>
                      <v:group id="Skupina 1" o:spid="_x0000_s1028" style="position:absolute;width:11751;height:34787" coordsize="11751,3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32" coordsize="21600,21600" o:spt="32" o:oned="t" path="m,l21600,21600e" filled="f">
                          <v:path arrowok="t" fillok="f" o:connecttype="none"/>
                          <o:lock v:ext="edit" shapetype="t"/>
                        </v:shapetype>
                        <v:shape id="Přímá spojnice se šipkou 33" o:spid="_x0000_s1029" type="#_x0000_t32" style="position:absolute;left:3218;top:6181;width:32;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qI9wgAAANsAAAAPAAAAZHJzL2Rvd25yZXYueG1sRI/BisJA&#10;EETvgv8wtODNTNyASHSURRCExYPZ/YAm0ybBTE8202ry987Cgseiul51bfeDa9WD+tB4NrBMUlDE&#10;pbcNVwZ+vo+LNaggyBZbz2RgpAD73XSyxdz6J1/oUUilIoRDjgZqkS7XOpQ1OQyJ74ijd/W9Q4my&#10;r7Tt8RnhrtUfabrSDhuODTV2dKipvBV3F984X47j+XT7vX81o7TZ+lDIcjRmPhs+N6CEBnkf/6dP&#10;1kCWwd+WCAC9ewEAAP//AwBQSwECLQAUAAYACAAAACEA2+H2y+4AAACFAQAAEwAAAAAAAAAAAAAA&#10;AAAAAAAAW0NvbnRlbnRfVHlwZXNdLnhtbFBLAQItABQABgAIAAAAIQBa9CxbvwAAABUBAAALAAAA&#10;AAAAAAAAAAAAAB8BAABfcmVscy8ucmVsc1BLAQItABQABgAIAAAAIQBg1qI9wgAAANsAAAAPAAAA&#10;AAAAAAAAAAAAAAcCAABkcnMvZG93bnJldi54bWxQSwUGAAAAAAMAAwC3AAAA9gIAAAAA&#10;" strokecolor="black [3200]" strokeweight="1.5pt">
                          <v:stroke endarrow="block" joinstyle="miter"/>
                        </v:shape>
                        <v:group id="Skupina 30" o:spid="_x0000_s1030" style="position:absolute;left:621;top:20921;width:4851;height:13866" coordsize="4851,1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pojnice: pravoúhlá 31" o:spid="_x0000_s1031" type="#_x0000_t34" style="position:absolute;width:4851;height:138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vhhxAAAANsAAAAPAAAAZHJzL2Rvd25yZXYueG1sRI9PawIx&#10;FMTvgt8hPKEXqVkriGyN4r+CUBBce+jxsXluopuXZRN1++2bQsHjMDO/YebLztXiTm2wnhWMRxkI&#10;4tJry5WCr9PH6wxEiMgaa8+k4IcCLBf93hxz7R98pHsRK5EgHHJUYGJscilDachhGPmGOHln3zqM&#10;SbaV1C0+EtzV8i3LptKh5bRgsKGNofJa3JyC4+d6s7XDbpfZaKvD5ducV9u1Ui+DbvUOIlIXn+H/&#10;9l4rmIzh70v6AXLxCwAA//8DAFBLAQItABQABgAIAAAAIQDb4fbL7gAAAIUBAAATAAAAAAAAAAAA&#10;AAAAAAAAAABbQ29udGVudF9UeXBlc10ueG1sUEsBAi0AFAAGAAgAAAAhAFr0LFu/AAAAFQEAAAsA&#10;AAAAAAAAAAAAAAAAHwEAAF9yZWxzLy5yZWxzUEsBAi0AFAAGAAgAAAAhAD3q+GHEAAAA2wAAAA8A&#10;AAAAAAAAAAAAAAAABwIAAGRycy9kb3ducmV2LnhtbFBLBQYAAAAAAwADALcAAAD4AgAAAAA=&#10;" strokecolor="black [3200]" strokeweight="1.5pt">
                            <v:stroke endarrow="block"/>
                          </v:shape>
                          <v:shape id="Přímá spojnice se šipkou 28" o:spid="_x0000_s1032" type="#_x0000_t34" style="position:absolute;left:3352;top:4362;width:458;height:23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Lz6wwAAANsAAAAPAAAAZHJzL2Rvd25yZXYueG1sRI9Ba8JA&#10;FITvhf6H5Qm9FN00gpToRmxpQdqTsd4f2Wc2mn0bsqtZ/323UPA4zMw3zGodbSeuNPjWsYKXWQaC&#10;uHa65UbBz/5z+grCB2SNnWNScCMP6/LxYYWFdiPv6FqFRiQI+wIVmBD6QkpfG7LoZ64nTt7RDRZD&#10;kkMj9YBjgttO5lm2kBZbTgsGe3o3VJ+ri1Vw8M+x/bjZ0zzX5nv7dvmK6BZKPU3iZgkiUAz38H97&#10;qxXMc/j7kn6ALH8BAAD//wMAUEsBAi0AFAAGAAgAAAAhANvh9svuAAAAhQEAABMAAAAAAAAAAAAA&#10;AAAAAAAAAFtDb250ZW50X1R5cGVzXS54bWxQSwECLQAUAAYACAAAACEAWvQsW78AAAAVAQAACwAA&#10;AAAAAAAAAAAAAAAfAQAAX3JlbHMvLnJlbHNQSwECLQAUAAYACAAAACEAVPS8+sMAAADbAAAADwAA&#10;AAAAAAAAAAAAAAAHAgAAZHJzL2Rvd25yZXYueG1sUEsFBgAAAAADAAMAtwAAAPcCAAAAAA==&#10;" adj="21451" strokecolor="black [3200]" strokeweight="1.5pt">
                            <v:stroke endarrow="block"/>
                          </v:shape>
                        </v:group>
                        <v:rect id="Obdélník 36" o:spid="_x0000_s1033" style="position:absolute;left:5376;top:24981;width:6375;height:4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EUxgAAANsAAAAPAAAAZHJzL2Rvd25yZXYueG1sRI9Pa8JA&#10;FMTvQr/D8oTedGOLoURXsYWW0oPUfwFvj+wzicm+XbJbTf303UKhx2FmfsPMl71pxYU6X1tWMBkn&#10;IIgLq2suFex3r6MnED4ga2wtk4Jv8rBc3A3mmGl75Q1dtqEUEcI+QwVVCC6T0hcVGfRj64ijd7Kd&#10;wRBlV0rd4TXCTSsfkiSVBmuOCxU6eqmoaLZfRoFrptPz5/O6zW9vH2liD8e8yZ1S98N+NQMRqA//&#10;4b/2u1bwmMLvl/gD5OIHAAD//wMAUEsBAi0AFAAGAAgAAAAhANvh9svuAAAAhQEAABMAAAAAAAAA&#10;AAAAAAAAAAAAAFtDb250ZW50X1R5cGVzXS54bWxQSwECLQAUAAYACAAAACEAWvQsW78AAAAVAQAA&#10;CwAAAAAAAAAAAAAAAAAfAQAAX3JlbHMvLnJlbHNQSwECLQAUAAYACAAAACEAVEpxFMYAAADbAAAA&#10;DwAAAAAAAAAAAAAAAAAHAgAAZHJzL2Rvd25yZXYueG1sUEsFBgAAAAADAAMAtwAAAPoCAAAAAA==&#10;" fillcolor="#edd4d9" stroked="f" strokeweight="1pt">
                          <v:textbox>
                            <w:txbxContent>
                              <w:p w14:paraId="5E6A8E05" w14:textId="77777777" w:rsidR="005257FF" w:rsidRPr="00E05701" w:rsidRDefault="005257FF" w:rsidP="00E05701">
                                <w:pPr>
                                  <w:spacing w:after="0"/>
                                  <w:jc w:val="center"/>
                                  <w:rPr>
                                    <w:b/>
                                    <w:color w:val="000000" w:themeColor="text1"/>
                                    <w:sz w:val="32"/>
                                    <w:szCs w:val="32"/>
                                  </w:rPr>
                                </w:pPr>
                                <w:r w:rsidRPr="00E05701">
                                  <w:rPr>
                                    <w:b/>
                                    <w:color w:val="000000" w:themeColor="text1"/>
                                    <w:sz w:val="32"/>
                                    <w:szCs w:val="32"/>
                                  </w:rPr>
                                  <w:t>FÚ</w:t>
                                </w:r>
                              </w:p>
                            </w:txbxContent>
                          </v:textbox>
                        </v:rect>
                        <v:rect id="Obdélník 34" o:spid="_x0000_s1034" style="position:absolute;left:36;width:6369;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JkwwAAANsAAAAPAAAAZHJzL2Rvd25yZXYueG1sRI/RaoNA&#10;FETfA/mH5Rb6lqzWEop1lWJaSF9KEvsBF/dWTdy74m6i+ftsodDHYWbOMFkxm15caXSdZQXxOgJB&#10;XFvdcaPgu/pYvYBwHlljb5kU3MhBkS8XGabaTnyg69E3IkDYpaig9X5IpXR1Swbd2g7Ewfuxo0Ef&#10;5NhIPeIU4KaXT1G0kQY7DgstDlS2VJ+PF6Og/Orrsno3n5edrPYJn7YY60qpx4f57RWEp9n/h//a&#10;O60geYbfL+EHyPwOAAD//wMAUEsBAi0AFAAGAAgAAAAhANvh9svuAAAAhQEAABMAAAAAAAAAAAAA&#10;AAAAAAAAAFtDb250ZW50X1R5cGVzXS54bWxQSwECLQAUAAYACAAAACEAWvQsW78AAAAVAQAACwAA&#10;AAAAAAAAAAAAAAAfAQAAX3JlbHMvLnJlbHNQSwECLQAUAAYACAAAACEApHbSZMMAAADbAAAADwAA&#10;AAAAAAAAAAAAAAAHAgAAZHJzL2Rvd25yZXYueG1sUEsFBgAAAAADAAMAtwAAAPcCAAAAAA==&#10;" fillcolor="#af1953" stroked="f" strokeweight="1pt">
                          <v:textbox>
                            <w:txbxContent>
                              <w:p w14:paraId="35D588F7" w14:textId="77777777" w:rsidR="005257FF" w:rsidRPr="00E05701" w:rsidRDefault="005257FF" w:rsidP="00E05701">
                                <w:pPr>
                                  <w:spacing w:after="0"/>
                                  <w:jc w:val="center"/>
                                  <w:rPr>
                                    <w:b/>
                                    <w:color w:val="FFFFFF" w:themeColor="background1"/>
                                    <w:sz w:val="32"/>
                                    <w:szCs w:val="32"/>
                                  </w:rPr>
                                </w:pPr>
                                <w:r w:rsidRPr="00E05701">
                                  <w:rPr>
                                    <w:b/>
                                    <w:color w:val="FFFFFF" w:themeColor="background1"/>
                                    <w:sz w:val="32"/>
                                    <w:szCs w:val="32"/>
                                  </w:rPr>
                                  <w:t>MF</w:t>
                                </w:r>
                              </w:p>
                            </w:txbxContent>
                          </v:textbox>
                        </v:rect>
                        <v:rect id="Obdélník 35" o:spid="_x0000_s1035" style="position:absolute;top:8302;width:6425;height:14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S+wgAAANsAAAAPAAAAZHJzL2Rvd25yZXYueG1sRI9BawIx&#10;FITvQv9DeAVvmlVr0a3ZRQqC9Ka299fNM7vt5mWbpO723zeC4HGYmW+YTTnYVlzIh8axgtk0A0Fc&#10;Od2wUfB+2k1WIEJE1tg6JgV/FKAsHkYbzLXr+UCXYzQiQTjkqKCOsculDFVNFsPUdcTJOztvMSbp&#10;jdQe+wS3rZxn2bO02HBaqLGj15qq7+OvVWCeMqTVm/k8zfqPr8GbsJY/lVLjx2H7AiLSEO/hW3uv&#10;FSyWcP2SfoAs/gEAAP//AwBQSwECLQAUAAYACAAAACEA2+H2y+4AAACFAQAAEwAAAAAAAAAAAAAA&#10;AAAAAAAAW0NvbnRlbnRfVHlwZXNdLnhtbFBLAQItABQABgAIAAAAIQBa9CxbvwAAABUBAAALAAAA&#10;AAAAAAAAAAAAAB8BAABfcmVscy8ucmVsc1BLAQItABQABgAIAAAAIQA5g3S+wgAAANsAAAAPAAAA&#10;AAAAAAAAAAAAAAcCAABkcnMvZG93bnJldi54bWxQSwUGAAAAAAMAAwC3AAAA9gIAAAAA&#10;" fillcolor="#cc7b8e" stroked="f" strokeweight="1pt">
                          <v:textbox>
                            <w:txbxContent>
                              <w:p w14:paraId="45FB19C1" w14:textId="77777777" w:rsidR="005257FF" w:rsidRPr="00E05701" w:rsidRDefault="005257FF" w:rsidP="00E05701">
                                <w:pPr>
                                  <w:spacing w:after="0"/>
                                  <w:jc w:val="center"/>
                                  <w:rPr>
                                    <w:b/>
                                    <w:color w:val="000000" w:themeColor="text1"/>
                                    <w:sz w:val="32"/>
                                    <w:szCs w:val="32"/>
                                  </w:rPr>
                                </w:pPr>
                                <w:r w:rsidRPr="00E05701">
                                  <w:rPr>
                                    <w:b/>
                                    <w:color w:val="000000" w:themeColor="text1"/>
                                    <w:sz w:val="32"/>
                                    <w:szCs w:val="32"/>
                                  </w:rPr>
                                  <w:t>GFŘ</w:t>
                                </w:r>
                              </w:p>
                            </w:txbxContent>
                          </v:textbox>
                        </v:rect>
                      </v:group>
                    </v:group>
                  </w:pict>
                </mc:Fallback>
              </mc:AlternateContent>
            </w:r>
            <w:r w:rsidR="003E71CF" w:rsidRPr="003E71CF">
              <w:rPr>
                <w:rFonts w:asciiTheme="minorHAnsi" w:hAnsiTheme="minorHAnsi" w:cstheme="minorHAnsi"/>
                <w:b/>
                <w:color w:val="000000"/>
                <w:sz w:val="32"/>
                <w:szCs w:val="32"/>
                <w:lang w:eastAsia="cs-CZ" w:bidi="cs-CZ"/>
              </w:rPr>
              <w:t>MF</w:t>
            </w:r>
          </w:p>
        </w:tc>
        <w:tc>
          <w:tcPr>
            <w:tcW w:w="7943" w:type="dxa"/>
            <w:shd w:val="clear" w:color="auto" w:fill="F2F2F2" w:themeFill="background1" w:themeFillShade="F2"/>
          </w:tcPr>
          <w:p w14:paraId="03251502" w14:textId="70B732B7" w:rsidR="00D95CED" w:rsidRDefault="00D95CED" w:rsidP="002267DE">
            <w:pPr>
              <w:pStyle w:val="Odstavecseseznamem"/>
              <w:numPr>
                <w:ilvl w:val="0"/>
                <w:numId w:val="4"/>
              </w:numPr>
              <w:ind w:left="315" w:hanging="417"/>
              <w:jc w:val="both"/>
              <w:rPr>
                <w:rFonts w:ascii="Calibri" w:hAnsi="Calibri" w:cs="Calibri"/>
                <w:sz w:val="20"/>
                <w:szCs w:val="20"/>
              </w:rPr>
            </w:pPr>
            <w:r>
              <w:rPr>
                <w:rFonts w:ascii="Calibri" w:hAnsi="Calibri" w:cs="Calibri"/>
                <w:sz w:val="20"/>
                <w:szCs w:val="20"/>
              </w:rPr>
              <w:t>je organizační složkou státu a účetní jednotkou</w:t>
            </w:r>
            <w:r w:rsidR="00DA2EC3">
              <w:rPr>
                <w:rFonts w:ascii="Calibri" w:hAnsi="Calibri" w:cs="Calibri"/>
                <w:sz w:val="20"/>
                <w:szCs w:val="20"/>
              </w:rPr>
              <w:t>,</w:t>
            </w:r>
          </w:p>
          <w:p w14:paraId="40A3B06A" w14:textId="3F2196AF" w:rsidR="003E71CF" w:rsidRPr="002267DE" w:rsidRDefault="003E71CF" w:rsidP="002267DE">
            <w:pPr>
              <w:pStyle w:val="Odstavecseseznamem"/>
              <w:numPr>
                <w:ilvl w:val="0"/>
                <w:numId w:val="4"/>
              </w:numPr>
              <w:ind w:left="315" w:hanging="417"/>
              <w:jc w:val="both"/>
              <w:rPr>
                <w:rFonts w:ascii="Calibri" w:hAnsi="Calibri" w:cs="Calibri"/>
                <w:sz w:val="20"/>
                <w:szCs w:val="20"/>
              </w:rPr>
            </w:pPr>
            <w:r w:rsidRPr="002267DE">
              <w:rPr>
                <w:rFonts w:ascii="Calibri" w:hAnsi="Calibri" w:cs="Calibri"/>
                <w:sz w:val="20"/>
                <w:szCs w:val="20"/>
              </w:rPr>
              <w:t>je ústředním orgánem státní správy pro daně</w:t>
            </w:r>
            <w:r w:rsidR="00DA2EC3">
              <w:rPr>
                <w:rFonts w:ascii="Calibri" w:hAnsi="Calibri" w:cs="Calibri"/>
                <w:sz w:val="20"/>
                <w:szCs w:val="20"/>
              </w:rPr>
              <w:t>,</w:t>
            </w:r>
          </w:p>
          <w:p w14:paraId="62B3B64E" w14:textId="069E8953" w:rsidR="003E71CF" w:rsidRPr="002267DE" w:rsidRDefault="00D95CED" w:rsidP="002267DE">
            <w:pPr>
              <w:pStyle w:val="Odstavecseseznamem"/>
              <w:numPr>
                <w:ilvl w:val="0"/>
                <w:numId w:val="4"/>
              </w:numPr>
              <w:ind w:left="315" w:right="-85" w:hanging="417"/>
              <w:jc w:val="both"/>
              <w:rPr>
                <w:rFonts w:ascii="Calibri" w:hAnsi="Calibri" w:cs="Calibri"/>
                <w:sz w:val="20"/>
                <w:szCs w:val="20"/>
              </w:rPr>
            </w:pPr>
            <w:r>
              <w:rPr>
                <w:rFonts w:ascii="Calibri" w:hAnsi="Calibri" w:cs="Calibri"/>
                <w:sz w:val="20"/>
                <w:szCs w:val="20"/>
              </w:rPr>
              <w:t>předkládá vládě návrhy</w:t>
            </w:r>
            <w:r w:rsidRPr="002267DE">
              <w:rPr>
                <w:rFonts w:ascii="Calibri" w:hAnsi="Calibri" w:cs="Calibri"/>
                <w:sz w:val="20"/>
                <w:szCs w:val="20"/>
              </w:rPr>
              <w:t xml:space="preserve"> </w:t>
            </w:r>
            <w:r>
              <w:rPr>
                <w:rFonts w:ascii="Calibri" w:hAnsi="Calibri" w:cs="Calibri"/>
                <w:sz w:val="20"/>
                <w:szCs w:val="20"/>
              </w:rPr>
              <w:t>zákonů</w:t>
            </w:r>
            <w:r w:rsidR="009742C5" w:rsidRPr="002267DE">
              <w:rPr>
                <w:rFonts w:ascii="Calibri" w:hAnsi="Calibri" w:cs="Calibri"/>
                <w:sz w:val="20"/>
                <w:szCs w:val="20"/>
              </w:rPr>
              <w:t xml:space="preserve"> a jejich</w:t>
            </w:r>
            <w:r w:rsidR="003E71CF" w:rsidRPr="002267DE">
              <w:rPr>
                <w:rFonts w:ascii="Calibri" w:hAnsi="Calibri" w:cs="Calibri"/>
                <w:sz w:val="20"/>
                <w:szCs w:val="20"/>
              </w:rPr>
              <w:t xml:space="preserve"> změny v oblasti daní</w:t>
            </w:r>
            <w:r w:rsidR="00DA2EC3">
              <w:rPr>
                <w:rFonts w:ascii="Calibri" w:hAnsi="Calibri" w:cs="Calibri"/>
                <w:sz w:val="20"/>
                <w:szCs w:val="20"/>
              </w:rPr>
              <w:t>,</w:t>
            </w:r>
          </w:p>
          <w:p w14:paraId="2365C4CD" w14:textId="0B06EF27" w:rsidR="003E71CF" w:rsidRPr="000845B2" w:rsidRDefault="00D95CED" w:rsidP="002267DE">
            <w:pPr>
              <w:pStyle w:val="Odstavecseseznamem"/>
              <w:numPr>
                <w:ilvl w:val="0"/>
                <w:numId w:val="4"/>
              </w:numPr>
              <w:ind w:left="315" w:hanging="417"/>
              <w:jc w:val="both"/>
              <w:rPr>
                <w:rFonts w:ascii="Calibri" w:hAnsi="Calibri" w:cs="Calibri"/>
              </w:rPr>
            </w:pPr>
            <w:r>
              <w:rPr>
                <w:rFonts w:ascii="Calibri" w:hAnsi="Calibri" w:cs="Calibri"/>
                <w:sz w:val="20"/>
                <w:szCs w:val="20"/>
              </w:rPr>
              <w:t>je nadřízeno</w:t>
            </w:r>
            <w:r w:rsidRPr="002267DE">
              <w:rPr>
                <w:rFonts w:ascii="Calibri" w:hAnsi="Calibri" w:cs="Calibri"/>
                <w:sz w:val="20"/>
                <w:szCs w:val="20"/>
              </w:rPr>
              <w:t xml:space="preserve"> </w:t>
            </w:r>
            <w:r w:rsidR="003E71CF" w:rsidRPr="002267DE">
              <w:rPr>
                <w:rFonts w:ascii="Calibri" w:hAnsi="Calibri" w:cs="Calibri"/>
                <w:sz w:val="20"/>
                <w:szCs w:val="20"/>
              </w:rPr>
              <w:t>GFŘ</w:t>
            </w:r>
            <w:r w:rsidR="00DA2EC3">
              <w:rPr>
                <w:rFonts w:ascii="Calibri" w:hAnsi="Calibri" w:cs="Calibri"/>
                <w:sz w:val="20"/>
                <w:szCs w:val="20"/>
              </w:rPr>
              <w:t>.</w:t>
            </w:r>
          </w:p>
        </w:tc>
      </w:tr>
    </w:tbl>
    <w:p w14:paraId="1573D371" w14:textId="77777777" w:rsidR="003E71CF" w:rsidRPr="007634E8" w:rsidRDefault="003E71CF" w:rsidP="003D28D0">
      <w:pPr>
        <w:pStyle w:val="Zkladntext1"/>
        <w:shd w:val="clear" w:color="auto" w:fill="auto"/>
        <w:spacing w:after="0"/>
        <w:jc w:val="center"/>
        <w:rPr>
          <w:rFonts w:asciiTheme="minorHAnsi" w:hAnsiTheme="minorHAnsi" w:cstheme="minorHAnsi"/>
          <w:color w:val="000000"/>
          <w:lang w:eastAsia="cs-CZ" w:bidi="cs-CZ"/>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8"/>
        <w:gridCol w:w="7994"/>
      </w:tblGrid>
      <w:tr w:rsidR="003E71CF" w14:paraId="2A429FEA" w14:textId="77777777" w:rsidTr="002267DE">
        <w:trPr>
          <w:trHeight w:val="2327"/>
        </w:trPr>
        <w:tc>
          <w:tcPr>
            <w:tcW w:w="1078" w:type="dxa"/>
            <w:shd w:val="clear" w:color="auto" w:fill="F2F2F2" w:themeFill="background1" w:themeFillShade="F2"/>
            <w:vAlign w:val="center"/>
          </w:tcPr>
          <w:p w14:paraId="178359F0" w14:textId="77777777" w:rsidR="003E71CF" w:rsidRPr="003E71CF" w:rsidRDefault="00FD6FE1" w:rsidP="003D28D0">
            <w:pPr>
              <w:pStyle w:val="Zkladntext1"/>
              <w:shd w:val="clear" w:color="auto" w:fill="auto"/>
              <w:spacing w:after="220"/>
              <w:jc w:val="center"/>
              <w:rPr>
                <w:rFonts w:asciiTheme="minorHAnsi" w:hAnsiTheme="minorHAnsi" w:cstheme="minorHAnsi"/>
                <w:b/>
                <w:color w:val="000000"/>
                <w:sz w:val="32"/>
                <w:szCs w:val="32"/>
                <w:lang w:eastAsia="cs-CZ" w:bidi="cs-CZ"/>
              </w:rPr>
            </w:pPr>
            <w:r>
              <w:rPr>
                <w:rFonts w:asciiTheme="minorHAnsi" w:hAnsiTheme="minorHAnsi" w:cstheme="minorHAnsi"/>
                <w:b/>
                <w:color w:val="000000"/>
                <w:sz w:val="32"/>
                <w:szCs w:val="32"/>
                <w:lang w:eastAsia="cs-CZ" w:bidi="cs-CZ"/>
              </w:rPr>
              <w:t>GFŘ</w:t>
            </w:r>
          </w:p>
        </w:tc>
        <w:tc>
          <w:tcPr>
            <w:tcW w:w="7994" w:type="dxa"/>
            <w:shd w:val="clear" w:color="auto" w:fill="F2F2F2" w:themeFill="background1" w:themeFillShade="F2"/>
          </w:tcPr>
          <w:p w14:paraId="251E1565" w14:textId="24114EE9" w:rsidR="00FD6FE1" w:rsidRPr="002267DE" w:rsidRDefault="00FD6FE1" w:rsidP="00497726">
            <w:pPr>
              <w:pStyle w:val="Odstavecseseznamem"/>
              <w:numPr>
                <w:ilvl w:val="0"/>
                <w:numId w:val="4"/>
              </w:numPr>
              <w:ind w:left="315"/>
              <w:jc w:val="both"/>
              <w:rPr>
                <w:rFonts w:ascii="Calibri" w:hAnsi="Calibri" w:cs="Calibri"/>
                <w:sz w:val="20"/>
                <w:szCs w:val="20"/>
              </w:rPr>
            </w:pPr>
            <w:r w:rsidRPr="002267DE">
              <w:rPr>
                <w:rFonts w:ascii="Calibri" w:hAnsi="Calibri" w:cs="Calibri"/>
                <w:sz w:val="20"/>
                <w:szCs w:val="20"/>
              </w:rPr>
              <w:t>je organizační složkou státu, správním úřadem a účetní jednotkou</w:t>
            </w:r>
            <w:r w:rsidR="00DA2EC3">
              <w:rPr>
                <w:rFonts w:ascii="Calibri" w:hAnsi="Calibri" w:cs="Calibri"/>
                <w:sz w:val="20"/>
                <w:szCs w:val="20"/>
              </w:rPr>
              <w:t>,</w:t>
            </w:r>
          </w:p>
          <w:p w14:paraId="0E2788EE" w14:textId="470D0CC6" w:rsidR="00FD6FE1" w:rsidRPr="002267DE" w:rsidRDefault="00D95CED" w:rsidP="002267DE">
            <w:pPr>
              <w:pStyle w:val="Odstavecseseznamem"/>
              <w:numPr>
                <w:ilvl w:val="0"/>
                <w:numId w:val="4"/>
              </w:numPr>
              <w:ind w:left="315" w:right="-109"/>
              <w:jc w:val="both"/>
              <w:rPr>
                <w:rFonts w:ascii="Calibri" w:hAnsi="Calibri" w:cs="Calibri"/>
                <w:sz w:val="20"/>
                <w:szCs w:val="20"/>
              </w:rPr>
            </w:pPr>
            <w:r>
              <w:rPr>
                <w:rFonts w:ascii="Calibri" w:hAnsi="Calibri" w:cs="Calibri"/>
                <w:sz w:val="20"/>
                <w:szCs w:val="20"/>
              </w:rPr>
              <w:t>je nadřízeno</w:t>
            </w:r>
            <w:r w:rsidR="00FD6FE1" w:rsidRPr="002267DE">
              <w:rPr>
                <w:rFonts w:ascii="Calibri" w:hAnsi="Calibri" w:cs="Calibri"/>
                <w:sz w:val="20"/>
                <w:szCs w:val="20"/>
              </w:rPr>
              <w:t xml:space="preserve"> </w:t>
            </w:r>
            <w:r w:rsidR="00A07249" w:rsidRPr="002267DE">
              <w:rPr>
                <w:rFonts w:ascii="Calibri" w:hAnsi="Calibri" w:cs="Calibri"/>
                <w:sz w:val="20"/>
                <w:szCs w:val="20"/>
              </w:rPr>
              <w:t>O</w:t>
            </w:r>
            <w:r w:rsidR="004F6B7C">
              <w:rPr>
                <w:rFonts w:ascii="Calibri" w:hAnsi="Calibri" w:cs="Calibri"/>
                <w:sz w:val="20"/>
                <w:szCs w:val="20"/>
              </w:rPr>
              <w:t>FŘ</w:t>
            </w:r>
            <w:r w:rsidR="00543058" w:rsidRPr="002267DE">
              <w:rPr>
                <w:rFonts w:ascii="Calibri" w:hAnsi="Calibri" w:cs="Calibri"/>
                <w:sz w:val="20"/>
                <w:szCs w:val="20"/>
              </w:rPr>
              <w:t xml:space="preserve">, </w:t>
            </w:r>
            <w:r w:rsidR="00FD6FE1" w:rsidRPr="002267DE">
              <w:rPr>
                <w:rFonts w:ascii="Calibri" w:hAnsi="Calibri" w:cs="Calibri"/>
                <w:sz w:val="20"/>
                <w:szCs w:val="20"/>
              </w:rPr>
              <w:t>FÚ</w:t>
            </w:r>
            <w:r w:rsidR="00543058" w:rsidRPr="002267DE">
              <w:rPr>
                <w:rFonts w:ascii="Calibri" w:hAnsi="Calibri" w:cs="Calibri"/>
                <w:sz w:val="20"/>
                <w:szCs w:val="20"/>
              </w:rPr>
              <w:t xml:space="preserve"> a S</w:t>
            </w:r>
            <w:r w:rsidR="008B489C" w:rsidRPr="002267DE">
              <w:rPr>
                <w:rFonts w:ascii="Calibri" w:hAnsi="Calibri" w:cs="Calibri"/>
                <w:sz w:val="20"/>
                <w:szCs w:val="20"/>
              </w:rPr>
              <w:t>FÚ</w:t>
            </w:r>
            <w:r w:rsidR="00DA2EC3">
              <w:rPr>
                <w:rFonts w:ascii="Calibri" w:hAnsi="Calibri" w:cs="Calibri"/>
                <w:sz w:val="20"/>
                <w:szCs w:val="20"/>
              </w:rPr>
              <w:t>,</w:t>
            </w:r>
          </w:p>
          <w:p w14:paraId="1DBCBFA5" w14:textId="5AAFD062" w:rsidR="00FD6FE1" w:rsidRPr="002267DE" w:rsidRDefault="00FD6FE1" w:rsidP="00497726">
            <w:pPr>
              <w:pStyle w:val="Odstavecseseznamem"/>
              <w:numPr>
                <w:ilvl w:val="0"/>
                <w:numId w:val="4"/>
              </w:numPr>
              <w:ind w:left="315"/>
              <w:jc w:val="both"/>
              <w:rPr>
                <w:rFonts w:ascii="Calibri" w:hAnsi="Calibri" w:cs="Calibri"/>
                <w:sz w:val="20"/>
                <w:szCs w:val="20"/>
              </w:rPr>
            </w:pPr>
            <w:r w:rsidRPr="002267DE">
              <w:rPr>
                <w:rFonts w:ascii="Calibri" w:hAnsi="Calibri" w:cs="Calibri"/>
                <w:sz w:val="20"/>
                <w:szCs w:val="20"/>
              </w:rPr>
              <w:t>odpovídá za metodické řízení výkonu správy D</w:t>
            </w:r>
            <w:r w:rsidR="00543058" w:rsidRPr="002267DE">
              <w:rPr>
                <w:rFonts w:ascii="Calibri" w:hAnsi="Calibri" w:cs="Calibri"/>
                <w:sz w:val="20"/>
                <w:szCs w:val="20"/>
              </w:rPr>
              <w:t>PPO</w:t>
            </w:r>
            <w:r w:rsidR="00DA2EC3">
              <w:rPr>
                <w:rFonts w:ascii="Calibri" w:hAnsi="Calibri" w:cs="Calibri"/>
                <w:sz w:val="20"/>
                <w:szCs w:val="20"/>
              </w:rPr>
              <w:t>,</w:t>
            </w:r>
          </w:p>
          <w:p w14:paraId="6D10E4B8" w14:textId="25DA323E" w:rsidR="00FD6FE1" w:rsidRPr="002267DE" w:rsidRDefault="00FD6FE1" w:rsidP="00497726">
            <w:pPr>
              <w:pStyle w:val="Odstavecseseznamem"/>
              <w:numPr>
                <w:ilvl w:val="0"/>
                <w:numId w:val="4"/>
              </w:numPr>
              <w:ind w:left="315"/>
              <w:jc w:val="both"/>
              <w:rPr>
                <w:rFonts w:ascii="Calibri" w:hAnsi="Calibri" w:cs="Calibri"/>
                <w:sz w:val="20"/>
                <w:szCs w:val="20"/>
              </w:rPr>
            </w:pPr>
            <w:r w:rsidRPr="002267DE">
              <w:rPr>
                <w:rFonts w:ascii="Calibri" w:hAnsi="Calibri" w:cs="Calibri"/>
                <w:sz w:val="20"/>
                <w:szCs w:val="20"/>
              </w:rPr>
              <w:t>připravuje podklady pro návrhy právních předpisů</w:t>
            </w:r>
            <w:r w:rsidR="00543058" w:rsidRPr="002267DE">
              <w:rPr>
                <w:rFonts w:ascii="Calibri" w:hAnsi="Calibri" w:cs="Calibri"/>
                <w:sz w:val="20"/>
                <w:szCs w:val="20"/>
              </w:rPr>
              <w:t>, mj. ve věci implementace směrnic EU</w:t>
            </w:r>
            <w:r w:rsidR="00DA2EC3">
              <w:rPr>
                <w:rFonts w:ascii="Calibri" w:hAnsi="Calibri" w:cs="Calibri"/>
                <w:sz w:val="20"/>
                <w:szCs w:val="20"/>
              </w:rPr>
              <w:t>,</w:t>
            </w:r>
          </w:p>
          <w:p w14:paraId="3C23677F" w14:textId="3EC64AEB" w:rsidR="00FD6FE1" w:rsidRPr="002267DE" w:rsidRDefault="00FD6FE1" w:rsidP="00497726">
            <w:pPr>
              <w:pStyle w:val="Odstavecseseznamem"/>
              <w:numPr>
                <w:ilvl w:val="0"/>
                <w:numId w:val="4"/>
              </w:numPr>
              <w:ind w:left="315"/>
              <w:jc w:val="both"/>
              <w:rPr>
                <w:rFonts w:ascii="Calibri" w:hAnsi="Calibri" w:cs="Calibri"/>
                <w:sz w:val="20"/>
                <w:szCs w:val="20"/>
              </w:rPr>
            </w:pPr>
            <w:r w:rsidRPr="002267DE">
              <w:rPr>
                <w:rFonts w:ascii="Calibri" w:hAnsi="Calibri" w:cs="Calibri"/>
                <w:sz w:val="20"/>
                <w:szCs w:val="20"/>
              </w:rPr>
              <w:t>podílí se na zpracování analýz dopadů přijatých legislativních změn na inkaso DP</w:t>
            </w:r>
            <w:r w:rsidR="00543058" w:rsidRPr="002267DE">
              <w:rPr>
                <w:rFonts w:ascii="Calibri" w:hAnsi="Calibri" w:cs="Calibri"/>
                <w:sz w:val="20"/>
                <w:szCs w:val="20"/>
              </w:rPr>
              <w:t>PO</w:t>
            </w:r>
            <w:r w:rsidR="00DA2EC3">
              <w:rPr>
                <w:rFonts w:ascii="Calibri" w:hAnsi="Calibri" w:cs="Calibri"/>
                <w:sz w:val="20"/>
                <w:szCs w:val="20"/>
              </w:rPr>
              <w:t>,</w:t>
            </w:r>
          </w:p>
          <w:p w14:paraId="35464855" w14:textId="5834DD68" w:rsidR="003E71CF" w:rsidRPr="002267DE" w:rsidRDefault="00DC02AC" w:rsidP="00497726">
            <w:pPr>
              <w:pStyle w:val="Odstavecseseznamem"/>
              <w:numPr>
                <w:ilvl w:val="0"/>
                <w:numId w:val="4"/>
              </w:numPr>
              <w:ind w:left="315"/>
              <w:jc w:val="both"/>
              <w:rPr>
                <w:rFonts w:ascii="Calibri" w:hAnsi="Calibri" w:cs="Calibri"/>
                <w:sz w:val="20"/>
                <w:szCs w:val="20"/>
              </w:rPr>
            </w:pPr>
            <w:r w:rsidRPr="002267DE">
              <w:rPr>
                <w:rFonts w:ascii="Calibri" w:hAnsi="Calibri" w:cs="Calibri"/>
                <w:sz w:val="20"/>
                <w:szCs w:val="20"/>
              </w:rPr>
              <w:t>odpovídá za mezinárodní zdaňování příjmů právnických osob a metodicky řídí a</w:t>
            </w:r>
            <w:r w:rsidR="0036700F">
              <w:rPr>
                <w:rFonts w:ascii="Calibri" w:hAnsi="Calibri" w:cs="Calibri"/>
                <w:sz w:val="20"/>
                <w:szCs w:val="20"/>
              </w:rPr>
              <w:t> </w:t>
            </w:r>
            <w:r w:rsidRPr="002267DE">
              <w:rPr>
                <w:rFonts w:ascii="Calibri" w:hAnsi="Calibri" w:cs="Calibri"/>
                <w:sz w:val="20"/>
                <w:szCs w:val="20"/>
              </w:rPr>
              <w:t>vykonává výměnu informací v oblasti přímých daní</w:t>
            </w:r>
            <w:r w:rsidR="00DA2EC3">
              <w:rPr>
                <w:rFonts w:ascii="Calibri" w:hAnsi="Calibri" w:cs="Calibri"/>
                <w:sz w:val="20"/>
                <w:szCs w:val="20"/>
              </w:rPr>
              <w:t>,</w:t>
            </w:r>
            <w:r w:rsidRPr="002267DE">
              <w:rPr>
                <w:rFonts w:ascii="Calibri" w:hAnsi="Calibri" w:cs="Calibri"/>
                <w:sz w:val="20"/>
                <w:szCs w:val="20"/>
              </w:rPr>
              <w:t xml:space="preserve"> </w:t>
            </w:r>
          </w:p>
          <w:p w14:paraId="6451AC82" w14:textId="7F1EB5EB" w:rsidR="00980676" w:rsidRPr="005475B6" w:rsidRDefault="00980676" w:rsidP="00497726">
            <w:pPr>
              <w:pStyle w:val="Odstavecseseznamem"/>
              <w:numPr>
                <w:ilvl w:val="0"/>
                <w:numId w:val="4"/>
              </w:numPr>
              <w:ind w:left="315"/>
              <w:jc w:val="both"/>
              <w:rPr>
                <w:rFonts w:ascii="Calibri" w:hAnsi="Calibri" w:cs="Calibri"/>
              </w:rPr>
            </w:pPr>
            <w:r w:rsidRPr="002267DE">
              <w:rPr>
                <w:rFonts w:ascii="Calibri" w:hAnsi="Calibri" w:cs="Calibri"/>
                <w:sz w:val="20"/>
                <w:szCs w:val="20"/>
              </w:rPr>
              <w:t>je ústředním kontaktním orgánem pro mezinárodní spolupráci</w:t>
            </w:r>
            <w:r w:rsidR="00DA2EC3">
              <w:rPr>
                <w:rFonts w:ascii="Calibri" w:hAnsi="Calibri" w:cs="Calibri"/>
                <w:sz w:val="20"/>
                <w:szCs w:val="20"/>
              </w:rPr>
              <w:t>,</w:t>
            </w:r>
          </w:p>
          <w:p w14:paraId="2C53E9F1" w14:textId="286633A0" w:rsidR="000426DE" w:rsidRPr="00A54E05" w:rsidRDefault="000426DE" w:rsidP="00497726">
            <w:pPr>
              <w:pStyle w:val="Odstavecseseznamem"/>
              <w:numPr>
                <w:ilvl w:val="0"/>
                <w:numId w:val="4"/>
              </w:numPr>
              <w:ind w:left="315"/>
              <w:jc w:val="both"/>
              <w:rPr>
                <w:rFonts w:ascii="Calibri" w:hAnsi="Calibri" w:cs="Calibri"/>
                <w:sz w:val="20"/>
                <w:szCs w:val="20"/>
              </w:rPr>
            </w:pPr>
            <w:r w:rsidRPr="00A54E05">
              <w:rPr>
                <w:rFonts w:ascii="Calibri" w:hAnsi="Calibri" w:cs="Calibri"/>
                <w:sz w:val="20"/>
                <w:szCs w:val="20"/>
              </w:rPr>
              <w:t>zajišťuje agendu oznámení DAC6 podaných v zahraničí a týkajících se subjektů v</w:t>
            </w:r>
            <w:r w:rsidR="00DA2EC3">
              <w:rPr>
                <w:rFonts w:ascii="Calibri" w:hAnsi="Calibri" w:cs="Calibri"/>
                <w:sz w:val="20"/>
                <w:szCs w:val="20"/>
              </w:rPr>
              <w:t> </w:t>
            </w:r>
            <w:r w:rsidRPr="00A54E05">
              <w:rPr>
                <w:rFonts w:ascii="Calibri" w:hAnsi="Calibri" w:cs="Calibri"/>
                <w:sz w:val="20"/>
                <w:szCs w:val="20"/>
              </w:rPr>
              <w:t>ČR</w:t>
            </w:r>
            <w:r w:rsidR="00DA2EC3">
              <w:rPr>
                <w:rFonts w:ascii="Calibri" w:hAnsi="Calibri" w:cs="Calibri"/>
                <w:sz w:val="20"/>
                <w:szCs w:val="20"/>
              </w:rPr>
              <w:t>.</w:t>
            </w:r>
          </w:p>
        </w:tc>
      </w:tr>
    </w:tbl>
    <w:p w14:paraId="58FD93EC" w14:textId="77777777" w:rsidR="003E71CF" w:rsidRPr="007634E8" w:rsidRDefault="003E71CF" w:rsidP="002267DE">
      <w:pPr>
        <w:pStyle w:val="Zkladntext1"/>
        <w:shd w:val="clear" w:color="auto" w:fill="auto"/>
        <w:spacing w:after="0"/>
        <w:jc w:val="center"/>
        <w:rPr>
          <w:rFonts w:asciiTheme="minorHAnsi" w:hAnsiTheme="minorHAnsi" w:cstheme="minorHAnsi"/>
          <w:color w:val="000000"/>
          <w:lang w:eastAsia="cs-CZ" w:bidi="cs-CZ"/>
        </w:rPr>
      </w:pPr>
    </w:p>
    <w:tbl>
      <w:tblPr>
        <w:tblStyle w:val="Mkatabulky"/>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10"/>
        <w:gridCol w:w="7111"/>
      </w:tblGrid>
      <w:tr w:rsidR="00FD6FE1" w14:paraId="629E762F" w14:textId="77777777" w:rsidTr="002267DE">
        <w:trPr>
          <w:trHeight w:val="782"/>
        </w:trPr>
        <w:tc>
          <w:tcPr>
            <w:tcW w:w="1110" w:type="dxa"/>
            <w:shd w:val="clear" w:color="auto" w:fill="F2F2F2" w:themeFill="background1" w:themeFillShade="F2"/>
            <w:vAlign w:val="center"/>
          </w:tcPr>
          <w:p w14:paraId="13209C41" w14:textId="77777777" w:rsidR="00FD6FE1" w:rsidRPr="003E71CF" w:rsidRDefault="00FD6FE1" w:rsidP="003D28D0">
            <w:pPr>
              <w:pStyle w:val="Zkladntext1"/>
              <w:shd w:val="clear" w:color="auto" w:fill="auto"/>
              <w:spacing w:after="220"/>
              <w:jc w:val="center"/>
              <w:rPr>
                <w:rFonts w:asciiTheme="minorHAnsi" w:hAnsiTheme="minorHAnsi" w:cstheme="minorHAnsi"/>
                <w:b/>
                <w:color w:val="000000"/>
                <w:sz w:val="32"/>
                <w:szCs w:val="32"/>
                <w:lang w:eastAsia="cs-CZ" w:bidi="cs-CZ"/>
              </w:rPr>
            </w:pPr>
            <w:r>
              <w:rPr>
                <w:rFonts w:asciiTheme="minorHAnsi" w:hAnsiTheme="minorHAnsi" w:cstheme="minorHAnsi"/>
                <w:b/>
                <w:color w:val="000000"/>
                <w:sz w:val="32"/>
                <w:szCs w:val="32"/>
                <w:lang w:eastAsia="cs-CZ" w:bidi="cs-CZ"/>
              </w:rPr>
              <w:t>FÚ</w:t>
            </w:r>
          </w:p>
        </w:tc>
        <w:tc>
          <w:tcPr>
            <w:tcW w:w="7111" w:type="dxa"/>
            <w:shd w:val="clear" w:color="auto" w:fill="F2F2F2" w:themeFill="background1" w:themeFillShade="F2"/>
          </w:tcPr>
          <w:p w14:paraId="65172315" w14:textId="7DFF8C00" w:rsidR="00FD6FE1" w:rsidRPr="002267DE" w:rsidRDefault="00FD6FE1" w:rsidP="002267DE">
            <w:pPr>
              <w:pStyle w:val="Odstavecseseznamem"/>
              <w:numPr>
                <w:ilvl w:val="0"/>
                <w:numId w:val="4"/>
              </w:numPr>
              <w:ind w:left="315" w:hanging="425"/>
              <w:jc w:val="both"/>
              <w:rPr>
                <w:rFonts w:ascii="Calibri" w:hAnsi="Calibri" w:cs="Calibri"/>
                <w:sz w:val="20"/>
                <w:szCs w:val="20"/>
              </w:rPr>
            </w:pPr>
            <w:r w:rsidRPr="002267DE">
              <w:rPr>
                <w:rFonts w:ascii="Calibri" w:hAnsi="Calibri" w:cs="Calibri"/>
                <w:sz w:val="20"/>
                <w:szCs w:val="20"/>
              </w:rPr>
              <w:t>pro účely hospodaření s majetkem státu, účetnictví a pracovněprávních vztahů mají postavení vnitřních organizačních jednotek GFŘ</w:t>
            </w:r>
            <w:r w:rsidR="00DA2EC3">
              <w:rPr>
                <w:rFonts w:ascii="Calibri" w:hAnsi="Calibri" w:cs="Calibri"/>
                <w:sz w:val="20"/>
                <w:szCs w:val="20"/>
              </w:rPr>
              <w:t>,</w:t>
            </w:r>
          </w:p>
          <w:p w14:paraId="43A9C2AE" w14:textId="4FAADC0D" w:rsidR="00FD6FE1" w:rsidRPr="00284C4C" w:rsidRDefault="00FD6FE1" w:rsidP="002267DE">
            <w:pPr>
              <w:pStyle w:val="Odstavecseseznamem"/>
              <w:numPr>
                <w:ilvl w:val="0"/>
                <w:numId w:val="4"/>
              </w:numPr>
              <w:ind w:left="315" w:hanging="425"/>
              <w:jc w:val="both"/>
              <w:rPr>
                <w:rFonts w:ascii="Calibri" w:hAnsi="Calibri" w:cs="Calibri"/>
              </w:rPr>
            </w:pPr>
            <w:r w:rsidRPr="002267DE">
              <w:rPr>
                <w:rFonts w:ascii="Calibri" w:hAnsi="Calibri" w:cs="Calibri"/>
                <w:sz w:val="20"/>
                <w:szCs w:val="20"/>
              </w:rPr>
              <w:t>vykonávají správu daní</w:t>
            </w:r>
            <w:r w:rsidR="00DA2EC3">
              <w:rPr>
                <w:rFonts w:ascii="Calibri" w:hAnsi="Calibri" w:cs="Calibri"/>
                <w:sz w:val="20"/>
                <w:szCs w:val="20"/>
              </w:rPr>
              <w:t>.</w:t>
            </w:r>
            <w:r w:rsidR="00284C4C">
              <w:rPr>
                <w:rFonts w:ascii="Calibri" w:hAnsi="Calibri" w:cs="Calibri"/>
              </w:rPr>
              <w:t xml:space="preserve"> </w:t>
            </w:r>
          </w:p>
        </w:tc>
      </w:tr>
    </w:tbl>
    <w:p w14:paraId="7428D545" w14:textId="77777777" w:rsidR="00DC02AC" w:rsidRPr="00DC02AC" w:rsidRDefault="00DC02AC" w:rsidP="00DC02AC">
      <w:pPr>
        <w:pStyle w:val="Zkladntext1"/>
        <w:shd w:val="clear" w:color="auto" w:fill="auto"/>
        <w:spacing w:after="0"/>
        <w:rPr>
          <w:rFonts w:asciiTheme="minorHAnsi" w:hAnsiTheme="minorHAnsi" w:cstheme="minorHAnsi"/>
          <w:b/>
          <w:color w:val="000000"/>
          <w:lang w:eastAsia="cs-CZ" w:bidi="cs-CZ"/>
        </w:rPr>
      </w:pPr>
    </w:p>
    <w:tbl>
      <w:tblPr>
        <w:tblStyle w:val="Mkatabulky"/>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
        <w:gridCol w:w="7087"/>
      </w:tblGrid>
      <w:tr w:rsidR="00DC02AC" w:rsidRPr="00FD6FE1" w14:paraId="087297EC" w14:textId="77777777" w:rsidTr="002267DE">
        <w:trPr>
          <w:trHeight w:val="1162"/>
        </w:trPr>
        <w:tc>
          <w:tcPr>
            <w:tcW w:w="1134" w:type="dxa"/>
            <w:shd w:val="clear" w:color="auto" w:fill="F2F2F2" w:themeFill="background1" w:themeFillShade="F2"/>
            <w:vAlign w:val="center"/>
          </w:tcPr>
          <w:p w14:paraId="5D8A9CFE" w14:textId="77777777" w:rsidR="00DC02AC" w:rsidRPr="003E71CF" w:rsidRDefault="00DC02AC" w:rsidP="00E72039">
            <w:pPr>
              <w:pStyle w:val="Zkladntext1"/>
              <w:shd w:val="clear" w:color="auto" w:fill="auto"/>
              <w:spacing w:after="220"/>
              <w:jc w:val="center"/>
              <w:rPr>
                <w:rFonts w:asciiTheme="minorHAnsi" w:hAnsiTheme="minorHAnsi" w:cstheme="minorHAnsi"/>
                <w:b/>
                <w:color w:val="000000"/>
                <w:sz w:val="32"/>
                <w:szCs w:val="32"/>
                <w:lang w:eastAsia="cs-CZ" w:bidi="cs-CZ"/>
              </w:rPr>
            </w:pPr>
            <w:r>
              <w:rPr>
                <w:rFonts w:asciiTheme="minorHAnsi" w:hAnsiTheme="minorHAnsi" w:cstheme="minorHAnsi"/>
                <w:b/>
                <w:color w:val="000000"/>
                <w:sz w:val="32"/>
                <w:szCs w:val="32"/>
                <w:lang w:eastAsia="cs-CZ" w:bidi="cs-CZ"/>
              </w:rPr>
              <w:t>SFÚ</w:t>
            </w:r>
          </w:p>
        </w:tc>
        <w:tc>
          <w:tcPr>
            <w:tcW w:w="7087" w:type="dxa"/>
            <w:shd w:val="clear" w:color="auto" w:fill="F2F2F2" w:themeFill="background1" w:themeFillShade="F2"/>
          </w:tcPr>
          <w:p w14:paraId="29B5AFE4" w14:textId="68C8C8E5" w:rsidR="00DC02AC" w:rsidRPr="002267DE" w:rsidRDefault="00DC02AC" w:rsidP="00BF128B">
            <w:pPr>
              <w:pStyle w:val="Odstavecseseznamem"/>
              <w:numPr>
                <w:ilvl w:val="0"/>
                <w:numId w:val="4"/>
              </w:numPr>
              <w:ind w:left="315" w:hanging="426"/>
              <w:jc w:val="both"/>
              <w:rPr>
                <w:rFonts w:ascii="Calibri" w:hAnsi="Calibri" w:cs="Calibri"/>
                <w:sz w:val="20"/>
                <w:szCs w:val="20"/>
              </w:rPr>
            </w:pPr>
            <w:r w:rsidRPr="002267DE">
              <w:rPr>
                <w:rFonts w:ascii="Calibri" w:hAnsi="Calibri" w:cs="Calibri"/>
                <w:sz w:val="20"/>
                <w:szCs w:val="20"/>
              </w:rPr>
              <w:t>pro účely hospodaření s majetkem státu, účetnictví a pracovněprávních vztahů má postavení vnitřní organizační jednotky GFŘ</w:t>
            </w:r>
            <w:r w:rsidR="00DA2EC3">
              <w:rPr>
                <w:rFonts w:ascii="Calibri" w:hAnsi="Calibri" w:cs="Calibri"/>
                <w:sz w:val="20"/>
                <w:szCs w:val="20"/>
              </w:rPr>
              <w:t>,</w:t>
            </w:r>
          </w:p>
          <w:p w14:paraId="3A297BB8" w14:textId="79CFE1CA" w:rsidR="00DC02AC" w:rsidRPr="002267DE" w:rsidRDefault="00DC02AC" w:rsidP="00BF128B">
            <w:pPr>
              <w:pStyle w:val="Odstavecseseznamem"/>
              <w:numPr>
                <w:ilvl w:val="0"/>
                <w:numId w:val="4"/>
              </w:numPr>
              <w:ind w:left="315" w:hanging="426"/>
              <w:jc w:val="both"/>
              <w:rPr>
                <w:rFonts w:ascii="Calibri" w:hAnsi="Calibri" w:cs="Calibri"/>
                <w:sz w:val="20"/>
                <w:szCs w:val="20"/>
              </w:rPr>
            </w:pPr>
            <w:r w:rsidRPr="002267DE">
              <w:rPr>
                <w:rFonts w:ascii="Calibri" w:hAnsi="Calibri" w:cs="Calibri"/>
                <w:sz w:val="20"/>
                <w:szCs w:val="20"/>
              </w:rPr>
              <w:t>vykonává správu daní</w:t>
            </w:r>
            <w:r w:rsidR="008F3802" w:rsidRPr="002267DE">
              <w:rPr>
                <w:rFonts w:ascii="Calibri" w:hAnsi="Calibri" w:cs="Calibri"/>
                <w:sz w:val="20"/>
                <w:szCs w:val="20"/>
              </w:rPr>
              <w:t xml:space="preserve"> s celorepublikovou působností</w:t>
            </w:r>
            <w:r w:rsidR="001A3DE7" w:rsidRPr="002267DE">
              <w:rPr>
                <w:rFonts w:ascii="Calibri" w:hAnsi="Calibri" w:cs="Calibri"/>
                <w:sz w:val="20"/>
                <w:szCs w:val="20"/>
              </w:rPr>
              <w:t>,</w:t>
            </w:r>
            <w:r w:rsidRPr="002267DE">
              <w:rPr>
                <w:rFonts w:ascii="Calibri" w:hAnsi="Calibri" w:cs="Calibri"/>
                <w:sz w:val="20"/>
                <w:szCs w:val="20"/>
              </w:rPr>
              <w:t xml:space="preserve"> a to u vybraných daňových subjektů, pro které je příslušný</w:t>
            </w:r>
            <w:r w:rsidR="00DA2EC3">
              <w:rPr>
                <w:rFonts w:ascii="Calibri" w:hAnsi="Calibri" w:cs="Calibri"/>
                <w:sz w:val="20"/>
                <w:szCs w:val="20"/>
              </w:rPr>
              <w:t>,</w:t>
            </w:r>
          </w:p>
          <w:p w14:paraId="647C1D08" w14:textId="73D74A7A" w:rsidR="00DC02AC" w:rsidRPr="00A54E05" w:rsidRDefault="000426DE" w:rsidP="00BF128B">
            <w:pPr>
              <w:pStyle w:val="Odstavecseseznamem"/>
              <w:numPr>
                <w:ilvl w:val="0"/>
                <w:numId w:val="4"/>
              </w:numPr>
              <w:ind w:left="315" w:right="-85" w:hanging="426"/>
              <w:contextualSpacing w:val="0"/>
              <w:jc w:val="both"/>
              <w:rPr>
                <w:rFonts w:ascii="Calibri" w:hAnsi="Calibri" w:cs="Calibri"/>
                <w:sz w:val="20"/>
                <w:szCs w:val="20"/>
              </w:rPr>
            </w:pPr>
            <w:r w:rsidRPr="00A54E05">
              <w:rPr>
                <w:rFonts w:ascii="Calibri" w:hAnsi="Calibri" w:cs="Calibri"/>
                <w:sz w:val="20"/>
                <w:szCs w:val="20"/>
              </w:rPr>
              <w:t>zajišťuje agendu oznámení DAC6 podaných subjekty v</w:t>
            </w:r>
            <w:r w:rsidR="00DA2EC3">
              <w:rPr>
                <w:rFonts w:ascii="Calibri" w:hAnsi="Calibri" w:cs="Calibri"/>
                <w:sz w:val="20"/>
                <w:szCs w:val="20"/>
              </w:rPr>
              <w:t> </w:t>
            </w:r>
            <w:r w:rsidRPr="00A54E05">
              <w:rPr>
                <w:rFonts w:ascii="Calibri" w:hAnsi="Calibri" w:cs="Calibri"/>
                <w:sz w:val="20"/>
                <w:szCs w:val="20"/>
              </w:rPr>
              <w:t>ČR</w:t>
            </w:r>
            <w:r w:rsidR="00DA2EC3">
              <w:rPr>
                <w:rFonts w:ascii="Calibri" w:hAnsi="Calibri" w:cs="Calibri"/>
                <w:sz w:val="20"/>
                <w:szCs w:val="20"/>
              </w:rPr>
              <w:t>.</w:t>
            </w:r>
            <w:r w:rsidRPr="002267DE" w:rsidDel="000426DE">
              <w:rPr>
                <w:rFonts w:ascii="Calibri" w:hAnsi="Calibri" w:cs="Calibri"/>
                <w:sz w:val="20"/>
                <w:szCs w:val="20"/>
              </w:rPr>
              <w:t xml:space="preserve"> </w:t>
            </w:r>
          </w:p>
        </w:tc>
      </w:tr>
    </w:tbl>
    <w:p w14:paraId="2F3AEE4F" w14:textId="7133F126" w:rsidR="00163A41" w:rsidRDefault="0093232C" w:rsidP="00BF76EC">
      <w:pPr>
        <w:pStyle w:val="Zkladntext1"/>
        <w:shd w:val="clear" w:color="auto" w:fill="auto"/>
        <w:spacing w:before="40" w:after="240"/>
        <w:rPr>
          <w:rFonts w:asciiTheme="minorHAnsi" w:hAnsiTheme="minorHAnsi" w:cstheme="minorHAnsi"/>
          <w:color w:val="000000"/>
          <w:sz w:val="20"/>
          <w:szCs w:val="20"/>
          <w:lang w:eastAsia="cs-CZ" w:bidi="cs-CZ"/>
        </w:rPr>
      </w:pPr>
      <w:r w:rsidRPr="00BF76EC">
        <w:rPr>
          <w:rFonts w:asciiTheme="minorHAnsi" w:hAnsiTheme="minorHAnsi" w:cstheme="minorHAnsi"/>
          <w:b/>
          <w:color w:val="000000"/>
          <w:sz w:val="20"/>
          <w:szCs w:val="20"/>
          <w:lang w:eastAsia="cs-CZ" w:bidi="cs-CZ"/>
        </w:rPr>
        <w:t>Zdroj:</w:t>
      </w:r>
      <w:r w:rsidRPr="00026856">
        <w:rPr>
          <w:rFonts w:asciiTheme="minorHAnsi" w:hAnsiTheme="minorHAnsi" w:cstheme="minorHAnsi"/>
          <w:color w:val="000000"/>
          <w:sz w:val="20"/>
          <w:szCs w:val="20"/>
          <w:lang w:eastAsia="cs-CZ" w:bidi="cs-CZ"/>
        </w:rPr>
        <w:t xml:space="preserve"> </w:t>
      </w:r>
      <w:r w:rsidR="00DA2EC3">
        <w:rPr>
          <w:rFonts w:asciiTheme="minorHAnsi" w:hAnsiTheme="minorHAnsi" w:cstheme="minorHAnsi"/>
          <w:color w:val="000000"/>
          <w:sz w:val="20"/>
          <w:szCs w:val="20"/>
          <w:lang w:eastAsia="cs-CZ" w:bidi="cs-CZ"/>
        </w:rPr>
        <w:t xml:space="preserve">vypracoval </w:t>
      </w:r>
      <w:r w:rsidRPr="00026856">
        <w:rPr>
          <w:rFonts w:asciiTheme="minorHAnsi" w:hAnsiTheme="minorHAnsi" w:cstheme="minorHAnsi"/>
          <w:color w:val="000000"/>
          <w:sz w:val="20"/>
          <w:szCs w:val="20"/>
          <w:lang w:eastAsia="cs-CZ" w:bidi="cs-CZ"/>
        </w:rPr>
        <w:t>N</w:t>
      </w:r>
      <w:r w:rsidRPr="00E72039">
        <w:rPr>
          <w:rFonts w:asciiTheme="minorHAnsi" w:hAnsiTheme="minorHAnsi" w:cstheme="minorHAnsi"/>
          <w:color w:val="000000"/>
          <w:sz w:val="20"/>
          <w:szCs w:val="20"/>
          <w:lang w:eastAsia="cs-CZ" w:bidi="cs-CZ"/>
        </w:rPr>
        <w:t>KÚ</w:t>
      </w:r>
      <w:r w:rsidR="00B11EFE" w:rsidRPr="00E72039">
        <w:rPr>
          <w:rFonts w:asciiTheme="minorHAnsi" w:hAnsiTheme="minorHAnsi" w:cstheme="minorHAnsi"/>
          <w:color w:val="000000"/>
          <w:sz w:val="20"/>
          <w:szCs w:val="20"/>
          <w:lang w:eastAsia="cs-CZ" w:bidi="cs-CZ"/>
        </w:rPr>
        <w:t>.</w:t>
      </w:r>
    </w:p>
    <w:p w14:paraId="02D521AC" w14:textId="6E0E763E" w:rsidR="00B53558" w:rsidRPr="00555224" w:rsidRDefault="0093232C" w:rsidP="00BC613E">
      <w:pPr>
        <w:pStyle w:val="Nadpis1"/>
        <w:keepLines/>
        <w:numPr>
          <w:ilvl w:val="0"/>
          <w:numId w:val="0"/>
        </w:numPr>
        <w:overflowPunct/>
        <w:autoSpaceDE/>
        <w:autoSpaceDN/>
        <w:adjustRightInd/>
        <w:spacing w:before="840" w:after="240" w:line="259" w:lineRule="auto"/>
        <w:textAlignment w:val="auto"/>
        <w:rPr>
          <w:sz w:val="28"/>
          <w:szCs w:val="28"/>
        </w:rPr>
      </w:pPr>
      <w:r w:rsidRPr="00555224">
        <w:rPr>
          <w:sz w:val="28"/>
          <w:szCs w:val="28"/>
        </w:rPr>
        <w:t>III. Rozsah kontroly</w:t>
      </w:r>
    </w:p>
    <w:p w14:paraId="45797636" w14:textId="77777777" w:rsidR="00B53558" w:rsidRDefault="00AA3730" w:rsidP="003E5938">
      <w:pPr>
        <w:spacing w:before="120" w:after="120"/>
        <w:jc w:val="both"/>
        <w:rPr>
          <w:rFonts w:cstheme="minorHAnsi"/>
          <w:sz w:val="24"/>
          <w:szCs w:val="24"/>
        </w:rPr>
      </w:pPr>
      <w:r>
        <w:rPr>
          <w:rFonts w:cstheme="minorHAnsi"/>
          <w:sz w:val="24"/>
          <w:szCs w:val="24"/>
        </w:rPr>
        <w:t xml:space="preserve">Cílem kontrolní akce </w:t>
      </w:r>
      <w:r w:rsidR="00D71220">
        <w:rPr>
          <w:rFonts w:cstheme="minorHAnsi"/>
          <w:sz w:val="24"/>
          <w:szCs w:val="24"/>
        </w:rPr>
        <w:t>bylo</w:t>
      </w:r>
      <w:r w:rsidR="007B323D">
        <w:rPr>
          <w:rFonts w:cstheme="minorHAnsi"/>
          <w:sz w:val="24"/>
          <w:szCs w:val="24"/>
        </w:rPr>
        <w:t xml:space="preserve"> </w:t>
      </w:r>
      <w:r w:rsidR="00AC2FC3">
        <w:rPr>
          <w:rFonts w:cstheme="minorHAnsi"/>
          <w:sz w:val="24"/>
          <w:szCs w:val="24"/>
        </w:rPr>
        <w:t>prověřit</w:t>
      </w:r>
      <w:r w:rsidR="007B323D">
        <w:rPr>
          <w:rFonts w:cstheme="minorHAnsi"/>
          <w:sz w:val="24"/>
          <w:szCs w:val="24"/>
        </w:rPr>
        <w:t xml:space="preserve">, zda </w:t>
      </w:r>
      <w:r w:rsidR="00E605FA">
        <w:rPr>
          <w:rFonts w:cstheme="minorHAnsi"/>
          <w:sz w:val="24"/>
          <w:szCs w:val="24"/>
        </w:rPr>
        <w:t xml:space="preserve">po zavedení </w:t>
      </w:r>
      <w:r w:rsidR="00D17A64">
        <w:rPr>
          <w:rFonts w:cstheme="minorHAnsi"/>
          <w:sz w:val="24"/>
          <w:szCs w:val="24"/>
        </w:rPr>
        <w:t>nových nástrojů do zákona o dan</w:t>
      </w:r>
      <w:r w:rsidR="002F6765">
        <w:rPr>
          <w:rFonts w:cstheme="minorHAnsi"/>
          <w:sz w:val="24"/>
          <w:szCs w:val="24"/>
        </w:rPr>
        <w:t>ích</w:t>
      </w:r>
      <w:r w:rsidR="00D17A64">
        <w:rPr>
          <w:rFonts w:cstheme="minorHAnsi"/>
          <w:sz w:val="24"/>
          <w:szCs w:val="24"/>
        </w:rPr>
        <w:t xml:space="preserve"> z příjmů došlo </w:t>
      </w:r>
      <w:r w:rsidR="009D7C41">
        <w:rPr>
          <w:rFonts w:cstheme="minorHAnsi"/>
          <w:sz w:val="24"/>
          <w:szCs w:val="24"/>
        </w:rPr>
        <w:t>ke snížení daňových úniků na dani z příjmů právnických osob a</w:t>
      </w:r>
      <w:r w:rsidR="00D80922">
        <w:rPr>
          <w:rFonts w:cstheme="minorHAnsi"/>
          <w:sz w:val="24"/>
          <w:szCs w:val="24"/>
        </w:rPr>
        <w:t xml:space="preserve"> </w:t>
      </w:r>
      <w:r w:rsidR="00D17A64">
        <w:rPr>
          <w:rFonts w:cstheme="minorHAnsi"/>
          <w:sz w:val="24"/>
          <w:szCs w:val="24"/>
        </w:rPr>
        <w:t>zefektivnění správy daně</w:t>
      </w:r>
      <w:r w:rsidR="007B323D">
        <w:rPr>
          <w:rFonts w:cstheme="minorHAnsi"/>
          <w:sz w:val="24"/>
          <w:szCs w:val="24"/>
        </w:rPr>
        <w:t>.</w:t>
      </w:r>
    </w:p>
    <w:p w14:paraId="5FB8CE55" w14:textId="77777777" w:rsidR="00813AB2" w:rsidRDefault="00D71220" w:rsidP="003E5938">
      <w:pPr>
        <w:keepNext/>
        <w:spacing w:before="120" w:after="0"/>
        <w:rPr>
          <w:sz w:val="24"/>
          <w:szCs w:val="24"/>
        </w:rPr>
      </w:pPr>
      <w:r>
        <w:rPr>
          <w:sz w:val="24"/>
          <w:szCs w:val="24"/>
        </w:rPr>
        <w:t>Za</w:t>
      </w:r>
      <w:r w:rsidR="00813AB2" w:rsidRPr="00813AB2">
        <w:rPr>
          <w:sz w:val="24"/>
          <w:szCs w:val="24"/>
        </w:rPr>
        <w:t xml:space="preserve"> účelem naplnění cíle a předmětu kontroly </w:t>
      </w:r>
      <w:r w:rsidRPr="00813AB2">
        <w:rPr>
          <w:sz w:val="24"/>
          <w:szCs w:val="24"/>
        </w:rPr>
        <w:t xml:space="preserve">NKÚ </w:t>
      </w:r>
      <w:r>
        <w:rPr>
          <w:sz w:val="24"/>
          <w:szCs w:val="24"/>
        </w:rPr>
        <w:t>ověřoval</w:t>
      </w:r>
      <w:r w:rsidR="00813AB2" w:rsidRPr="00813AB2">
        <w:rPr>
          <w:sz w:val="24"/>
          <w:szCs w:val="24"/>
        </w:rPr>
        <w:t xml:space="preserve">: </w:t>
      </w:r>
    </w:p>
    <w:p w14:paraId="4FD0861E" w14:textId="77777777" w:rsidR="00D20364" w:rsidRPr="00891FE3" w:rsidRDefault="00D20364" w:rsidP="003E5938">
      <w:pPr>
        <w:pStyle w:val="Odstavecseseznamem"/>
        <w:numPr>
          <w:ilvl w:val="0"/>
          <w:numId w:val="52"/>
        </w:numPr>
        <w:spacing w:after="0"/>
        <w:ind w:left="284" w:hanging="284"/>
        <w:contextualSpacing w:val="0"/>
        <w:rPr>
          <w:sz w:val="24"/>
          <w:szCs w:val="24"/>
        </w:rPr>
      </w:pPr>
      <w:r w:rsidRPr="00891FE3">
        <w:rPr>
          <w:rFonts w:ascii="Calibri" w:hAnsi="Calibri" w:cs="Calibri"/>
          <w:sz w:val="24"/>
          <w:szCs w:val="24"/>
        </w:rPr>
        <w:t>vliv zavedení nových nástrojů na daňové úniky na DPPO;</w:t>
      </w:r>
    </w:p>
    <w:p w14:paraId="0DB614AD" w14:textId="77777777" w:rsidR="006D0C74" w:rsidRDefault="006D0C74" w:rsidP="003E5938">
      <w:pPr>
        <w:pStyle w:val="Odstavecseseznamem"/>
        <w:numPr>
          <w:ilvl w:val="0"/>
          <w:numId w:val="7"/>
        </w:numPr>
        <w:spacing w:before="120" w:after="120"/>
        <w:ind w:left="284" w:hanging="284"/>
        <w:jc w:val="both"/>
        <w:rPr>
          <w:rFonts w:cstheme="minorHAnsi"/>
          <w:sz w:val="24"/>
          <w:szCs w:val="24"/>
        </w:rPr>
      </w:pPr>
      <w:r>
        <w:rPr>
          <w:rFonts w:cstheme="minorHAnsi"/>
          <w:sz w:val="24"/>
          <w:szCs w:val="24"/>
        </w:rPr>
        <w:t xml:space="preserve">činnosti prováděné v souvislosti s implementací </w:t>
      </w:r>
      <w:r w:rsidRPr="00154C14">
        <w:rPr>
          <w:rFonts w:cstheme="minorHAnsi"/>
          <w:sz w:val="24"/>
          <w:szCs w:val="24"/>
        </w:rPr>
        <w:t>směrnic ATAD</w:t>
      </w:r>
      <w:r>
        <w:rPr>
          <w:rFonts w:cstheme="minorHAnsi"/>
          <w:sz w:val="24"/>
          <w:szCs w:val="24"/>
        </w:rPr>
        <w:t xml:space="preserve"> </w:t>
      </w:r>
      <w:r w:rsidRPr="00154C14">
        <w:rPr>
          <w:rFonts w:cstheme="minorHAnsi"/>
          <w:sz w:val="24"/>
          <w:szCs w:val="24"/>
        </w:rPr>
        <w:t>a DAC6</w:t>
      </w:r>
      <w:r>
        <w:rPr>
          <w:rFonts w:cstheme="minorHAnsi"/>
          <w:sz w:val="24"/>
          <w:szCs w:val="24"/>
        </w:rPr>
        <w:t xml:space="preserve"> a </w:t>
      </w:r>
      <w:r w:rsidR="008C4334">
        <w:rPr>
          <w:rFonts w:cstheme="minorHAnsi"/>
          <w:sz w:val="24"/>
          <w:szCs w:val="24"/>
        </w:rPr>
        <w:t xml:space="preserve">jejich </w:t>
      </w:r>
      <w:r>
        <w:rPr>
          <w:rFonts w:cstheme="minorHAnsi"/>
          <w:sz w:val="24"/>
          <w:szCs w:val="24"/>
        </w:rPr>
        <w:t>administrativní náročnost</w:t>
      </w:r>
      <w:r w:rsidRPr="00154C14">
        <w:rPr>
          <w:rFonts w:cstheme="minorHAnsi"/>
          <w:sz w:val="24"/>
          <w:szCs w:val="24"/>
        </w:rPr>
        <w:t>;</w:t>
      </w:r>
    </w:p>
    <w:p w14:paraId="1D43FA48" w14:textId="432B006C" w:rsidR="006D0C74" w:rsidRPr="00154C14" w:rsidRDefault="006D0C74" w:rsidP="003E5938">
      <w:pPr>
        <w:pStyle w:val="Odstavecseseznamem"/>
        <w:numPr>
          <w:ilvl w:val="0"/>
          <w:numId w:val="7"/>
        </w:numPr>
        <w:spacing w:before="120" w:after="120"/>
        <w:ind w:left="284" w:hanging="284"/>
        <w:jc w:val="both"/>
        <w:rPr>
          <w:rFonts w:cstheme="minorHAnsi"/>
          <w:sz w:val="24"/>
          <w:szCs w:val="24"/>
        </w:rPr>
      </w:pPr>
      <w:r w:rsidRPr="00154C14">
        <w:rPr>
          <w:rFonts w:cstheme="minorHAnsi"/>
          <w:sz w:val="24"/>
          <w:szCs w:val="24"/>
        </w:rPr>
        <w:t>nákladov</w:t>
      </w:r>
      <w:r>
        <w:rPr>
          <w:rFonts w:cstheme="minorHAnsi"/>
          <w:sz w:val="24"/>
          <w:szCs w:val="24"/>
        </w:rPr>
        <w:t>ou</w:t>
      </w:r>
      <w:r w:rsidRPr="00154C14">
        <w:rPr>
          <w:rFonts w:cstheme="minorHAnsi"/>
          <w:sz w:val="24"/>
          <w:szCs w:val="24"/>
        </w:rPr>
        <w:t xml:space="preserve"> efektivnost správy DPPO</w:t>
      </w:r>
      <w:r>
        <w:rPr>
          <w:rFonts w:cstheme="minorHAnsi"/>
          <w:sz w:val="24"/>
          <w:szCs w:val="24"/>
        </w:rPr>
        <w:t xml:space="preserve"> včetně efektivnosti činností souvisejících s kontrolou a</w:t>
      </w:r>
      <w:r w:rsidR="00BF76EC">
        <w:rPr>
          <w:rFonts w:cstheme="minorHAnsi"/>
          <w:sz w:val="24"/>
          <w:szCs w:val="24"/>
        </w:rPr>
        <w:t> </w:t>
      </w:r>
      <w:r>
        <w:rPr>
          <w:rFonts w:cstheme="minorHAnsi"/>
          <w:sz w:val="24"/>
          <w:szCs w:val="24"/>
        </w:rPr>
        <w:t>vymáhání</w:t>
      </w:r>
      <w:r w:rsidR="006706E7">
        <w:rPr>
          <w:rFonts w:cstheme="minorHAnsi"/>
          <w:sz w:val="24"/>
          <w:szCs w:val="24"/>
        </w:rPr>
        <w:t>m</w:t>
      </w:r>
      <w:r>
        <w:rPr>
          <w:rFonts w:cstheme="minorHAnsi"/>
          <w:sz w:val="24"/>
          <w:szCs w:val="24"/>
        </w:rPr>
        <w:t xml:space="preserve"> daňových nedoplatků na DPPO</w:t>
      </w:r>
      <w:r w:rsidR="004B71B9">
        <w:rPr>
          <w:rFonts w:cstheme="minorHAnsi"/>
          <w:sz w:val="24"/>
          <w:szCs w:val="24"/>
        </w:rPr>
        <w:t xml:space="preserve"> za období před a po implementaci směrnic ATAD a DAC6</w:t>
      </w:r>
      <w:r w:rsidRPr="00154C14">
        <w:rPr>
          <w:rFonts w:cstheme="minorHAnsi"/>
          <w:sz w:val="24"/>
          <w:szCs w:val="24"/>
        </w:rPr>
        <w:t>;</w:t>
      </w:r>
    </w:p>
    <w:p w14:paraId="53E54FEE" w14:textId="77777777" w:rsidR="006D0C74" w:rsidRPr="00154C14" w:rsidRDefault="006D0C74" w:rsidP="003E5938">
      <w:pPr>
        <w:pStyle w:val="Odstavecseseznamem"/>
        <w:numPr>
          <w:ilvl w:val="0"/>
          <w:numId w:val="7"/>
        </w:numPr>
        <w:spacing w:before="120" w:after="120"/>
        <w:ind w:left="284" w:hanging="284"/>
        <w:jc w:val="both"/>
        <w:rPr>
          <w:rFonts w:cstheme="minorHAnsi"/>
          <w:sz w:val="24"/>
          <w:szCs w:val="24"/>
        </w:rPr>
      </w:pPr>
      <w:r w:rsidRPr="00154C14">
        <w:rPr>
          <w:rFonts w:cstheme="minorHAnsi"/>
          <w:sz w:val="24"/>
          <w:szCs w:val="24"/>
        </w:rPr>
        <w:t xml:space="preserve">personální vytíženost jednotlivých procesů správy DPPO </w:t>
      </w:r>
      <w:r>
        <w:rPr>
          <w:rFonts w:cstheme="minorHAnsi"/>
          <w:sz w:val="24"/>
          <w:szCs w:val="24"/>
        </w:rPr>
        <w:t>u</w:t>
      </w:r>
      <w:r w:rsidRPr="00154C14">
        <w:rPr>
          <w:rFonts w:cstheme="minorHAnsi"/>
          <w:sz w:val="24"/>
          <w:szCs w:val="24"/>
        </w:rPr>
        <w:t xml:space="preserve"> jednotlivých </w:t>
      </w:r>
      <w:r>
        <w:rPr>
          <w:rFonts w:cstheme="minorHAnsi"/>
          <w:sz w:val="24"/>
          <w:szCs w:val="24"/>
        </w:rPr>
        <w:t>FÚ</w:t>
      </w:r>
      <w:r w:rsidRPr="00154C14">
        <w:rPr>
          <w:rFonts w:cstheme="minorHAnsi"/>
          <w:sz w:val="24"/>
          <w:szCs w:val="24"/>
        </w:rPr>
        <w:t>;</w:t>
      </w:r>
    </w:p>
    <w:p w14:paraId="1F384B02" w14:textId="77777777" w:rsidR="00154C14" w:rsidRPr="005475B6" w:rsidRDefault="004B71B9" w:rsidP="003E5938">
      <w:pPr>
        <w:pStyle w:val="Odstavecseseznamem"/>
        <w:numPr>
          <w:ilvl w:val="0"/>
          <w:numId w:val="7"/>
        </w:numPr>
        <w:spacing w:before="120" w:after="120"/>
        <w:ind w:left="284" w:hanging="284"/>
        <w:jc w:val="both"/>
        <w:rPr>
          <w:rFonts w:cstheme="minorHAnsi"/>
          <w:sz w:val="24"/>
          <w:szCs w:val="24"/>
        </w:rPr>
      </w:pPr>
      <w:r>
        <w:rPr>
          <w:rFonts w:cstheme="minorHAnsi"/>
          <w:sz w:val="24"/>
          <w:szCs w:val="24"/>
        </w:rPr>
        <w:t xml:space="preserve">peněžní prostředky vynaložené v souvislosti s </w:t>
      </w:r>
      <w:r w:rsidR="006D0C74" w:rsidRPr="005475B6">
        <w:rPr>
          <w:rFonts w:cstheme="minorHAnsi"/>
          <w:sz w:val="24"/>
          <w:szCs w:val="24"/>
        </w:rPr>
        <w:t>vedení</w:t>
      </w:r>
      <w:r>
        <w:rPr>
          <w:rFonts w:cstheme="minorHAnsi"/>
          <w:sz w:val="24"/>
          <w:szCs w:val="24"/>
        </w:rPr>
        <w:t>m</w:t>
      </w:r>
      <w:r w:rsidR="006D0C74" w:rsidRPr="005475B6">
        <w:rPr>
          <w:rFonts w:cstheme="minorHAnsi"/>
          <w:sz w:val="24"/>
          <w:szCs w:val="24"/>
        </w:rPr>
        <w:t xml:space="preserve"> spisové dokumentace daňových subjektů registrovaných k DPPO;</w:t>
      </w:r>
    </w:p>
    <w:p w14:paraId="4DA254A2" w14:textId="77777777" w:rsidR="00813AB2" w:rsidRPr="00A51B9B" w:rsidRDefault="00154C14" w:rsidP="003E5938">
      <w:pPr>
        <w:pStyle w:val="Odstavecseseznamem"/>
        <w:numPr>
          <w:ilvl w:val="0"/>
          <w:numId w:val="7"/>
        </w:numPr>
        <w:spacing w:before="120" w:after="120"/>
        <w:ind w:left="284" w:hanging="284"/>
        <w:jc w:val="both"/>
        <w:rPr>
          <w:sz w:val="24"/>
          <w:szCs w:val="24"/>
        </w:rPr>
      </w:pPr>
      <w:r>
        <w:rPr>
          <w:sz w:val="24"/>
          <w:szCs w:val="24"/>
        </w:rPr>
        <w:t>plnění</w:t>
      </w:r>
      <w:r w:rsidR="00813AB2">
        <w:rPr>
          <w:sz w:val="24"/>
          <w:szCs w:val="24"/>
        </w:rPr>
        <w:t xml:space="preserve"> opatření přijat</w:t>
      </w:r>
      <w:r>
        <w:rPr>
          <w:sz w:val="24"/>
          <w:szCs w:val="24"/>
        </w:rPr>
        <w:t>ých</w:t>
      </w:r>
      <w:r w:rsidR="00813AB2">
        <w:rPr>
          <w:sz w:val="24"/>
          <w:szCs w:val="24"/>
        </w:rPr>
        <w:t xml:space="preserve"> </w:t>
      </w:r>
      <w:r w:rsidR="00A51B9B" w:rsidRPr="00A51B9B">
        <w:rPr>
          <w:sz w:val="24"/>
          <w:szCs w:val="24"/>
        </w:rPr>
        <w:t>k nápravě nedostatků zjištěných v KA č. 17/21</w:t>
      </w:r>
      <w:r w:rsidR="002B5376">
        <w:rPr>
          <w:sz w:val="24"/>
          <w:szCs w:val="24"/>
        </w:rPr>
        <w:t>.</w:t>
      </w:r>
    </w:p>
    <w:p w14:paraId="67959A93" w14:textId="77777777" w:rsidR="000426DE" w:rsidRPr="006D0C74" w:rsidRDefault="000426DE" w:rsidP="003E5938">
      <w:pPr>
        <w:spacing w:before="120" w:after="120"/>
        <w:jc w:val="both"/>
        <w:rPr>
          <w:rFonts w:cstheme="minorHAnsi"/>
          <w:sz w:val="24"/>
          <w:szCs w:val="24"/>
        </w:rPr>
      </w:pPr>
      <w:r w:rsidRPr="006D0C74">
        <w:rPr>
          <w:rFonts w:cstheme="minorHAnsi"/>
          <w:sz w:val="24"/>
          <w:szCs w:val="24"/>
        </w:rPr>
        <w:t xml:space="preserve">Pojem </w:t>
      </w:r>
      <w:r w:rsidRPr="00814652">
        <w:rPr>
          <w:rFonts w:cstheme="minorHAnsi"/>
          <w:b/>
          <w:sz w:val="24"/>
          <w:szCs w:val="24"/>
        </w:rPr>
        <w:t>„nové nástroje“</w:t>
      </w:r>
      <w:r w:rsidRPr="006D0C74">
        <w:rPr>
          <w:rFonts w:cstheme="minorHAnsi"/>
          <w:sz w:val="24"/>
          <w:szCs w:val="24"/>
        </w:rPr>
        <w:t xml:space="preserve"> </w:t>
      </w:r>
      <w:r w:rsidR="00324ED1" w:rsidRPr="006D0C74">
        <w:rPr>
          <w:rFonts w:cstheme="minorHAnsi"/>
          <w:sz w:val="24"/>
          <w:szCs w:val="24"/>
        </w:rPr>
        <w:t>zahrn</w:t>
      </w:r>
      <w:r w:rsidR="00324ED1">
        <w:rPr>
          <w:rFonts w:cstheme="minorHAnsi"/>
          <w:sz w:val="24"/>
          <w:szCs w:val="24"/>
        </w:rPr>
        <w:t>oval</w:t>
      </w:r>
      <w:r w:rsidR="00324ED1" w:rsidRPr="006D0C74">
        <w:rPr>
          <w:rFonts w:cstheme="minorHAnsi"/>
          <w:sz w:val="24"/>
          <w:szCs w:val="24"/>
        </w:rPr>
        <w:t xml:space="preserve"> </w:t>
      </w:r>
      <w:r w:rsidRPr="006D0C74">
        <w:rPr>
          <w:rFonts w:cstheme="minorHAnsi"/>
          <w:sz w:val="24"/>
          <w:szCs w:val="24"/>
        </w:rPr>
        <w:t xml:space="preserve">pro účely kontroly NKÚ pět opatření zavedených v souvislosti s implementací směrnic ATAD a výměnu informací o přeshraničních uspořádáních v rámci pátého režimu automatické výměny informací dle směrnice DAC6.  </w:t>
      </w:r>
    </w:p>
    <w:p w14:paraId="7157DD6E" w14:textId="77777777" w:rsidR="00543058" w:rsidRDefault="00543058" w:rsidP="00B66659">
      <w:pPr>
        <w:spacing w:before="120" w:after="120"/>
        <w:jc w:val="both"/>
        <w:rPr>
          <w:rFonts w:cstheme="minorHAnsi"/>
          <w:sz w:val="24"/>
          <w:szCs w:val="24"/>
        </w:rPr>
      </w:pPr>
      <w:r w:rsidRPr="00543058">
        <w:rPr>
          <w:rFonts w:cstheme="minorHAnsi"/>
          <w:sz w:val="24"/>
          <w:szCs w:val="24"/>
        </w:rPr>
        <w:t xml:space="preserve">Pojem </w:t>
      </w:r>
      <w:r w:rsidRPr="00814652">
        <w:rPr>
          <w:rFonts w:cstheme="minorHAnsi"/>
          <w:b/>
          <w:sz w:val="24"/>
          <w:szCs w:val="24"/>
        </w:rPr>
        <w:t>„správa DPPO“</w:t>
      </w:r>
      <w:r w:rsidRPr="00543058">
        <w:rPr>
          <w:rFonts w:cstheme="minorHAnsi"/>
          <w:sz w:val="24"/>
          <w:szCs w:val="24"/>
        </w:rPr>
        <w:t xml:space="preserve"> zahrn</w:t>
      </w:r>
      <w:r w:rsidR="00813AB2">
        <w:rPr>
          <w:rFonts w:cstheme="minorHAnsi"/>
          <w:sz w:val="24"/>
          <w:szCs w:val="24"/>
        </w:rPr>
        <w:t>oval</w:t>
      </w:r>
      <w:r w:rsidRPr="00543058">
        <w:rPr>
          <w:rFonts w:cstheme="minorHAnsi"/>
          <w:sz w:val="24"/>
          <w:szCs w:val="24"/>
        </w:rPr>
        <w:t xml:space="preserve"> pro účely kontroly NKÚ veškeré činnosti realizované v procesech registrace, stanovování daňové povinnosti, kontrolní činnosti, vymáhání daňových nedoplatků souvisejících s DPPO a mezinárodní výměny informací souvisejících s DPPO.</w:t>
      </w:r>
    </w:p>
    <w:p w14:paraId="11686FD6" w14:textId="7D3D9ECF" w:rsidR="0081301C" w:rsidRDefault="0062086F" w:rsidP="00ED1031">
      <w:pPr>
        <w:spacing w:before="120" w:after="120"/>
        <w:jc w:val="both"/>
        <w:rPr>
          <w:rFonts w:cstheme="minorHAnsi"/>
          <w:sz w:val="24"/>
          <w:szCs w:val="24"/>
        </w:rPr>
      </w:pPr>
      <w:r>
        <w:rPr>
          <w:rFonts w:cstheme="minorHAnsi"/>
          <w:sz w:val="24"/>
          <w:szCs w:val="24"/>
        </w:rPr>
        <w:t xml:space="preserve">Pro účely kontroly NKÚ byly výdaje na platy zaměstnanců FS ČR označovány jako mzdové výdaje. </w:t>
      </w:r>
      <w:r w:rsidR="00ED1031">
        <w:rPr>
          <w:rFonts w:cstheme="minorHAnsi"/>
          <w:sz w:val="24"/>
          <w:szCs w:val="24"/>
        </w:rPr>
        <w:t xml:space="preserve">NKÚ vycházel z průměrných mzdových výdajů vynaložených na jednoho zaměstnance FS ČR v příslušném roce. </w:t>
      </w:r>
    </w:p>
    <w:p w14:paraId="6E972720" w14:textId="2D58B9B2" w:rsidR="00ED1031" w:rsidRDefault="00ED1031" w:rsidP="00ED1031">
      <w:pPr>
        <w:spacing w:before="120" w:after="120"/>
        <w:jc w:val="both"/>
        <w:rPr>
          <w:rFonts w:cstheme="minorHAnsi"/>
          <w:sz w:val="24"/>
          <w:szCs w:val="24"/>
        </w:rPr>
      </w:pPr>
      <w:r w:rsidRPr="000B0951">
        <w:rPr>
          <w:rFonts w:cstheme="minorHAnsi"/>
          <w:sz w:val="24"/>
          <w:szCs w:val="24"/>
        </w:rPr>
        <w:t xml:space="preserve">NKÚ při </w:t>
      </w:r>
      <w:r w:rsidR="002E3752">
        <w:rPr>
          <w:rFonts w:cstheme="minorHAnsi"/>
          <w:sz w:val="24"/>
          <w:szCs w:val="24"/>
        </w:rPr>
        <w:t>kontrole</w:t>
      </w:r>
      <w:r w:rsidRPr="000B0951">
        <w:rPr>
          <w:rFonts w:cstheme="minorHAnsi"/>
          <w:sz w:val="24"/>
          <w:szCs w:val="24"/>
        </w:rPr>
        <w:t xml:space="preserve"> správy DPPO nezohledňoval roky 2020 a 2021 s ohledem na skutečnost, že veškeré výkonnostní ukazatele byly v těchto letech ovlivněny událostmi souvisejícími s</w:t>
      </w:r>
      <w:r w:rsidR="002D6AF9">
        <w:rPr>
          <w:rFonts w:cstheme="minorHAnsi"/>
          <w:sz w:val="24"/>
          <w:szCs w:val="24"/>
        </w:rPr>
        <w:t> </w:t>
      </w:r>
      <w:r w:rsidRPr="000B0951">
        <w:rPr>
          <w:rFonts w:cstheme="minorHAnsi"/>
          <w:sz w:val="24"/>
          <w:szCs w:val="24"/>
        </w:rPr>
        <w:t xml:space="preserve">pandemií </w:t>
      </w:r>
      <w:r w:rsidR="00DA2EC3" w:rsidRPr="000B0951">
        <w:rPr>
          <w:rFonts w:cstheme="minorHAnsi"/>
          <w:sz w:val="24"/>
          <w:szCs w:val="24"/>
        </w:rPr>
        <w:t>covid</w:t>
      </w:r>
      <w:r w:rsidR="00DA2EC3">
        <w:rPr>
          <w:rFonts w:cstheme="minorHAnsi"/>
          <w:sz w:val="24"/>
          <w:szCs w:val="24"/>
        </w:rPr>
        <w:t>u</w:t>
      </w:r>
      <w:r w:rsidRPr="000B0951">
        <w:rPr>
          <w:rFonts w:cstheme="minorHAnsi"/>
          <w:sz w:val="24"/>
          <w:szCs w:val="24"/>
        </w:rPr>
        <w:t xml:space="preserve">-19. </w:t>
      </w:r>
    </w:p>
    <w:p w14:paraId="19DC392A" w14:textId="77777777" w:rsidR="001902B5" w:rsidRPr="000817A0" w:rsidRDefault="00DE5D07" w:rsidP="00B66659">
      <w:pPr>
        <w:spacing w:before="120" w:after="120"/>
        <w:jc w:val="both"/>
        <w:rPr>
          <w:rFonts w:cstheme="minorHAnsi"/>
          <w:sz w:val="24"/>
          <w:szCs w:val="24"/>
        </w:rPr>
      </w:pPr>
      <w:r w:rsidRPr="000817A0">
        <w:rPr>
          <w:rFonts w:cstheme="minorHAnsi"/>
          <w:sz w:val="24"/>
          <w:szCs w:val="24"/>
        </w:rPr>
        <w:t>Kontrolováno bylo období od roku 201</w:t>
      </w:r>
      <w:r w:rsidR="004844DB">
        <w:rPr>
          <w:rFonts w:cstheme="minorHAnsi"/>
          <w:sz w:val="24"/>
          <w:szCs w:val="24"/>
        </w:rPr>
        <w:t>8</w:t>
      </w:r>
      <w:r w:rsidRPr="000817A0">
        <w:rPr>
          <w:rFonts w:cstheme="minorHAnsi"/>
          <w:sz w:val="24"/>
          <w:szCs w:val="24"/>
        </w:rPr>
        <w:t xml:space="preserve"> do roku 2022, v případě věcných souvislostí období předcházející a následující.</w:t>
      </w:r>
      <w:r w:rsidR="00366576">
        <w:rPr>
          <w:rFonts w:cstheme="minorHAnsi"/>
          <w:sz w:val="24"/>
          <w:szCs w:val="24"/>
        </w:rPr>
        <w:t xml:space="preserve"> </w:t>
      </w:r>
      <w:r w:rsidR="00E4110E">
        <w:rPr>
          <w:rFonts w:cstheme="minorHAnsi"/>
          <w:sz w:val="24"/>
          <w:szCs w:val="24"/>
        </w:rPr>
        <w:t xml:space="preserve">Data za rok </w:t>
      </w:r>
      <w:r w:rsidR="00366576">
        <w:rPr>
          <w:rFonts w:cstheme="minorHAnsi"/>
          <w:sz w:val="24"/>
          <w:szCs w:val="24"/>
        </w:rPr>
        <w:t>2017</w:t>
      </w:r>
      <w:r w:rsidR="00E4110E">
        <w:rPr>
          <w:rFonts w:cstheme="minorHAnsi"/>
          <w:sz w:val="24"/>
          <w:szCs w:val="24"/>
        </w:rPr>
        <w:t xml:space="preserve"> </w:t>
      </w:r>
      <w:r w:rsidR="004E4981">
        <w:rPr>
          <w:rFonts w:cstheme="minorHAnsi"/>
          <w:sz w:val="24"/>
          <w:szCs w:val="24"/>
        </w:rPr>
        <w:t xml:space="preserve">použil </w:t>
      </w:r>
      <w:r w:rsidR="00E4110E">
        <w:rPr>
          <w:rFonts w:cstheme="minorHAnsi"/>
          <w:sz w:val="24"/>
          <w:szCs w:val="24"/>
        </w:rPr>
        <w:t xml:space="preserve">NKÚ v případě výdajů vynaložených na zaměstnance MF zabývající se tvorbou hlavní transpoziční novely </w:t>
      </w:r>
      <w:r w:rsidR="004B1164">
        <w:rPr>
          <w:rFonts w:cstheme="minorHAnsi"/>
          <w:sz w:val="24"/>
          <w:szCs w:val="24"/>
        </w:rPr>
        <w:t>zákona o daních z příjmů</w:t>
      </w:r>
      <w:r w:rsidR="00E4110E">
        <w:rPr>
          <w:rFonts w:cstheme="minorHAnsi"/>
          <w:sz w:val="24"/>
          <w:szCs w:val="24"/>
        </w:rPr>
        <w:t xml:space="preserve"> v souvislosti s implementací směrnic</w:t>
      </w:r>
      <w:r w:rsidR="00DC5D6F">
        <w:rPr>
          <w:rFonts w:cstheme="minorHAnsi"/>
          <w:sz w:val="24"/>
          <w:szCs w:val="24"/>
        </w:rPr>
        <w:t>e</w:t>
      </w:r>
      <w:r w:rsidR="00E4110E">
        <w:rPr>
          <w:rFonts w:cstheme="minorHAnsi"/>
          <w:sz w:val="24"/>
          <w:szCs w:val="24"/>
        </w:rPr>
        <w:t xml:space="preserve"> ATAD.</w:t>
      </w:r>
    </w:p>
    <w:p w14:paraId="2CBB70BD" w14:textId="16E4527A" w:rsidR="008E51BC" w:rsidRPr="000817A0" w:rsidRDefault="0093232C" w:rsidP="00BF76EC">
      <w:pPr>
        <w:spacing w:before="360" w:after="120"/>
        <w:ind w:left="567" w:hanging="567"/>
        <w:jc w:val="both"/>
        <w:rPr>
          <w:rFonts w:cstheme="minorHAnsi"/>
          <w:bCs/>
          <w:sz w:val="20"/>
          <w:szCs w:val="20"/>
        </w:rPr>
      </w:pPr>
      <w:r w:rsidRPr="000817A0">
        <w:rPr>
          <w:rFonts w:cstheme="minorHAnsi"/>
          <w:b/>
          <w:bCs/>
          <w:sz w:val="20"/>
          <w:szCs w:val="20"/>
        </w:rPr>
        <w:t>Pozn.:</w:t>
      </w:r>
      <w:r w:rsidRPr="000817A0">
        <w:rPr>
          <w:rFonts w:cstheme="minorHAnsi"/>
          <w:bCs/>
          <w:sz w:val="20"/>
          <w:szCs w:val="20"/>
        </w:rPr>
        <w:t xml:space="preserve"> </w:t>
      </w:r>
      <w:r w:rsidRPr="000817A0">
        <w:rPr>
          <w:rFonts w:cstheme="minorHAnsi"/>
          <w:bCs/>
          <w:sz w:val="20"/>
          <w:szCs w:val="20"/>
        </w:rPr>
        <w:tab/>
        <w:t>Právní předpisy uvedené v tomto kontrolním závěru jsou aplikovány ve znění účinném pro kontrolované období</w:t>
      </w:r>
      <w:r w:rsidR="00AF0EFF">
        <w:rPr>
          <w:rFonts w:cstheme="minorHAnsi"/>
          <w:bCs/>
          <w:sz w:val="20"/>
          <w:szCs w:val="20"/>
        </w:rPr>
        <w:t>.</w:t>
      </w:r>
    </w:p>
    <w:p w14:paraId="2DE0D36F" w14:textId="6508F40B" w:rsidR="006814F6" w:rsidRPr="009A5B8E" w:rsidRDefault="0097746B" w:rsidP="00BC613E">
      <w:pPr>
        <w:pStyle w:val="Nadpis1"/>
        <w:keepLines/>
        <w:numPr>
          <w:ilvl w:val="0"/>
          <w:numId w:val="0"/>
        </w:numPr>
        <w:overflowPunct/>
        <w:autoSpaceDE/>
        <w:autoSpaceDN/>
        <w:adjustRightInd/>
        <w:spacing w:before="840" w:after="240" w:line="259" w:lineRule="auto"/>
        <w:ind w:left="357"/>
        <w:textAlignment w:val="auto"/>
        <w:rPr>
          <w:sz w:val="28"/>
          <w:szCs w:val="28"/>
        </w:rPr>
      </w:pPr>
      <w:r>
        <w:rPr>
          <w:sz w:val="28"/>
          <w:szCs w:val="28"/>
        </w:rPr>
        <w:t xml:space="preserve">IV. </w:t>
      </w:r>
      <w:r w:rsidR="0093232C" w:rsidRPr="009A5B8E">
        <w:rPr>
          <w:sz w:val="28"/>
          <w:szCs w:val="28"/>
        </w:rPr>
        <w:t>Podrobné skutečnosti zjištěné kontrolou</w:t>
      </w:r>
    </w:p>
    <w:p w14:paraId="251C1BD2" w14:textId="77777777" w:rsidR="0046080E" w:rsidRPr="001A21D5" w:rsidRDefault="0046080E" w:rsidP="0097746B">
      <w:pPr>
        <w:keepNext/>
        <w:spacing w:before="240" w:after="120"/>
        <w:jc w:val="both"/>
        <w:rPr>
          <w:rFonts w:ascii="Calibri" w:eastAsia="Calibri" w:hAnsi="Calibri" w:cs="Calibri"/>
          <w:b/>
          <w:sz w:val="24"/>
          <w:szCs w:val="24"/>
        </w:rPr>
      </w:pPr>
      <w:r w:rsidRPr="001A21D5">
        <w:rPr>
          <w:rFonts w:ascii="Calibri" w:hAnsi="Calibri" w:cs="Calibri"/>
          <w:b/>
          <w:sz w:val="24"/>
          <w:szCs w:val="24"/>
        </w:rPr>
        <w:t xml:space="preserve">1. </w:t>
      </w:r>
      <w:r w:rsidR="006C78A7" w:rsidRPr="001A21D5">
        <w:rPr>
          <w:rFonts w:ascii="Calibri" w:hAnsi="Calibri" w:cs="Calibri"/>
          <w:b/>
          <w:bCs/>
          <w:color w:val="000000" w:themeColor="text1"/>
          <w:sz w:val="24"/>
          <w:szCs w:val="24"/>
        </w:rPr>
        <w:t>Pro vyhodnocení dopadu implementace směrnic ATAD neexistovala vhodná zdrojová data</w:t>
      </w:r>
    </w:p>
    <w:p w14:paraId="4264209B" w14:textId="777322FB" w:rsidR="0046080E" w:rsidRPr="001A21D5" w:rsidRDefault="0046080E" w:rsidP="001A21D5">
      <w:pPr>
        <w:spacing w:before="120" w:after="120"/>
        <w:jc w:val="both"/>
        <w:rPr>
          <w:rFonts w:ascii="Calibri" w:hAnsi="Calibri" w:cs="Calibri"/>
          <w:sz w:val="24"/>
          <w:szCs w:val="24"/>
        </w:rPr>
      </w:pPr>
      <w:r w:rsidRPr="001A21D5">
        <w:rPr>
          <w:rFonts w:ascii="Calibri" w:hAnsi="Calibri" w:cs="Calibri"/>
          <w:sz w:val="24"/>
          <w:szCs w:val="24"/>
        </w:rPr>
        <w:t>Vznik směrnic</w:t>
      </w:r>
      <w:r w:rsidR="00DC5D6F">
        <w:rPr>
          <w:rFonts w:ascii="Calibri" w:hAnsi="Calibri" w:cs="Calibri"/>
          <w:sz w:val="24"/>
          <w:szCs w:val="24"/>
        </w:rPr>
        <w:t>e</w:t>
      </w:r>
      <w:r w:rsidRPr="001A21D5">
        <w:rPr>
          <w:rFonts w:ascii="Calibri" w:hAnsi="Calibri" w:cs="Calibri"/>
          <w:sz w:val="24"/>
          <w:szCs w:val="24"/>
        </w:rPr>
        <w:t xml:space="preserve"> ATAD byl důsledkem iniciativy OECD</w:t>
      </w:r>
      <w:r w:rsidRPr="00814456">
        <w:rPr>
          <w:rStyle w:val="Znakapoznpodarou"/>
          <w:rFonts w:ascii="Calibri" w:hAnsi="Calibri" w:cs="Calibri"/>
          <w:sz w:val="24"/>
          <w:szCs w:val="24"/>
        </w:rPr>
        <w:footnoteReference w:id="14"/>
      </w:r>
      <w:r w:rsidRPr="001A21D5">
        <w:rPr>
          <w:rFonts w:ascii="Calibri" w:hAnsi="Calibri" w:cs="Calibri"/>
          <w:sz w:val="24"/>
          <w:szCs w:val="24"/>
        </w:rPr>
        <w:t xml:space="preserve"> směřující proti erozi základu daně a přesouvání zisků. Účelem směrnic</w:t>
      </w:r>
      <w:r w:rsidR="00DC5D6F">
        <w:rPr>
          <w:rFonts w:ascii="Calibri" w:hAnsi="Calibri" w:cs="Calibri"/>
          <w:sz w:val="24"/>
          <w:szCs w:val="24"/>
        </w:rPr>
        <w:t>e</w:t>
      </w:r>
      <w:r w:rsidRPr="001A21D5">
        <w:rPr>
          <w:rFonts w:ascii="Calibri" w:hAnsi="Calibri" w:cs="Calibri"/>
          <w:sz w:val="24"/>
          <w:szCs w:val="24"/>
        </w:rPr>
        <w:t xml:space="preserve"> ATAD bylo zamezení daňovým únikům, a to přijetím opatření odrazujících od praktik vyhýbání se daňovým povinnostem a zajištění spravedlivého a</w:t>
      </w:r>
      <w:r w:rsidR="00DA2EC3">
        <w:rPr>
          <w:rFonts w:ascii="Calibri" w:hAnsi="Calibri" w:cs="Calibri"/>
          <w:sz w:val="24"/>
          <w:szCs w:val="24"/>
        </w:rPr>
        <w:t> </w:t>
      </w:r>
      <w:r w:rsidRPr="001A21D5">
        <w:rPr>
          <w:rFonts w:ascii="Calibri" w:hAnsi="Calibri" w:cs="Calibri"/>
          <w:sz w:val="24"/>
          <w:szCs w:val="24"/>
        </w:rPr>
        <w:t xml:space="preserve">účinného zdanění v EU dostatečně jednotným a koordinovaným způsobem. Zároveň by účelem přijatých pravidel mělo být zamezení vzniku dalších překážek na trhu, jako je dvojí zdanění. </w:t>
      </w:r>
    </w:p>
    <w:p w14:paraId="1643A191" w14:textId="1C86FF52" w:rsidR="0046080E" w:rsidRPr="001A21D5" w:rsidRDefault="0046080E" w:rsidP="001A21D5">
      <w:pPr>
        <w:spacing w:before="120" w:after="120"/>
        <w:jc w:val="both"/>
        <w:rPr>
          <w:rFonts w:cstheme="minorHAnsi"/>
          <w:bCs/>
          <w:sz w:val="24"/>
          <w:szCs w:val="24"/>
        </w:rPr>
      </w:pPr>
      <w:r w:rsidRPr="001A21D5">
        <w:rPr>
          <w:rFonts w:ascii="Calibri" w:hAnsi="Calibri" w:cs="Calibri"/>
          <w:sz w:val="24"/>
          <w:szCs w:val="24"/>
        </w:rPr>
        <w:t>Po transpozici směrnic</w:t>
      </w:r>
      <w:r w:rsidR="00DC5D6F">
        <w:rPr>
          <w:rFonts w:ascii="Calibri" w:hAnsi="Calibri" w:cs="Calibri"/>
          <w:sz w:val="24"/>
          <w:szCs w:val="24"/>
        </w:rPr>
        <w:t>e</w:t>
      </w:r>
      <w:r w:rsidRPr="001A21D5">
        <w:rPr>
          <w:rFonts w:ascii="Calibri" w:hAnsi="Calibri" w:cs="Calibri"/>
          <w:sz w:val="24"/>
          <w:szCs w:val="24"/>
        </w:rPr>
        <w:t xml:space="preserve"> ATAD do národní právní úpravy se </w:t>
      </w:r>
      <w:r w:rsidRPr="001A21D5">
        <w:rPr>
          <w:rFonts w:cstheme="minorHAnsi"/>
          <w:bCs/>
          <w:sz w:val="24"/>
          <w:szCs w:val="24"/>
        </w:rPr>
        <w:t xml:space="preserve">zvýšila administrativní náročnost správy DPPO na straně daňových subjektů i správců daně tím, že byly zavedeny nové povinnosti pro vyplňování DAP a nové povinné přílohy k tomuto přiznání. Nová pravidla bylo nutné sledovat a vyhodnocovat. Např. u pravidla pro omezení </w:t>
      </w:r>
      <w:proofErr w:type="spellStart"/>
      <w:r w:rsidRPr="001A21D5">
        <w:rPr>
          <w:rFonts w:cstheme="minorHAnsi"/>
          <w:bCs/>
          <w:sz w:val="24"/>
          <w:szCs w:val="24"/>
        </w:rPr>
        <w:t>odpočitatelnosti</w:t>
      </w:r>
      <w:proofErr w:type="spellEnd"/>
      <w:r w:rsidRPr="001A21D5">
        <w:rPr>
          <w:rFonts w:cstheme="minorHAnsi"/>
          <w:bCs/>
          <w:sz w:val="24"/>
          <w:szCs w:val="24"/>
        </w:rPr>
        <w:t xml:space="preserve"> úroků poplatníci s vyšším objemem úvěrů museli nově zjišťovat výši nadměrných výpůjčních výdajů a </w:t>
      </w:r>
      <w:r w:rsidR="007B7543">
        <w:rPr>
          <w:rFonts w:cstheme="minorHAnsi"/>
          <w:bCs/>
          <w:sz w:val="24"/>
          <w:szCs w:val="24"/>
        </w:rPr>
        <w:t>j</w:t>
      </w:r>
      <w:r w:rsidR="007A261A">
        <w:rPr>
          <w:rFonts w:cstheme="minorHAnsi"/>
          <w:bCs/>
          <w:sz w:val="24"/>
          <w:szCs w:val="24"/>
        </w:rPr>
        <w:t xml:space="preserve">ejich </w:t>
      </w:r>
      <w:r w:rsidRPr="001A21D5">
        <w:rPr>
          <w:rFonts w:cstheme="minorHAnsi"/>
          <w:bCs/>
          <w:sz w:val="24"/>
          <w:szCs w:val="24"/>
        </w:rPr>
        <w:t>limit ve formě 30 % daňového zisku před úroky, zdaněním a odpisy nebo ve výši 80</w:t>
      </w:r>
      <w:r w:rsidR="00A85FF1">
        <w:rPr>
          <w:rFonts w:cstheme="minorHAnsi"/>
          <w:bCs/>
          <w:sz w:val="24"/>
          <w:szCs w:val="24"/>
        </w:rPr>
        <w:t> </w:t>
      </w:r>
      <w:r w:rsidRPr="001A21D5">
        <w:rPr>
          <w:rFonts w:cstheme="minorHAnsi"/>
          <w:bCs/>
          <w:sz w:val="24"/>
          <w:szCs w:val="24"/>
        </w:rPr>
        <w:t>mil.</w:t>
      </w:r>
      <w:r w:rsidR="00A85FF1">
        <w:rPr>
          <w:rFonts w:cstheme="minorHAnsi"/>
          <w:bCs/>
          <w:sz w:val="24"/>
          <w:szCs w:val="24"/>
        </w:rPr>
        <w:t> </w:t>
      </w:r>
      <w:r w:rsidRPr="001A21D5">
        <w:rPr>
          <w:rFonts w:cstheme="minorHAnsi"/>
          <w:bCs/>
          <w:sz w:val="24"/>
          <w:szCs w:val="24"/>
        </w:rPr>
        <w:t>Kč.</w:t>
      </w:r>
    </w:p>
    <w:p w14:paraId="3B9A078D" w14:textId="2DB42C22" w:rsidR="0046080E" w:rsidRDefault="00AA2E29" w:rsidP="001A21D5">
      <w:pPr>
        <w:autoSpaceDE w:val="0"/>
        <w:autoSpaceDN w:val="0"/>
        <w:adjustRightInd w:val="0"/>
        <w:spacing w:after="120" w:line="276" w:lineRule="auto"/>
        <w:jc w:val="both"/>
        <w:rPr>
          <w:rFonts w:ascii="Calibri" w:hAnsi="Calibri" w:cs="Calibri"/>
          <w:sz w:val="24"/>
          <w:szCs w:val="24"/>
        </w:rPr>
      </w:pPr>
      <w:r>
        <w:rPr>
          <w:rFonts w:cstheme="minorHAnsi"/>
          <w:bCs/>
          <w:sz w:val="24"/>
          <w:szCs w:val="24"/>
        </w:rPr>
        <w:t>NKÚ zjistil, že o</w:t>
      </w:r>
      <w:r w:rsidR="0046080E" w:rsidRPr="001A21D5">
        <w:rPr>
          <w:rFonts w:cstheme="minorHAnsi"/>
          <w:bCs/>
          <w:sz w:val="24"/>
          <w:szCs w:val="24"/>
        </w:rPr>
        <w:t xml:space="preserve">patření znemožňují poplatníkům uplatnit určité postupy pro optimalizaci daní tím, že jim dávají speciální daňový režim. Např. v případě pravidla zdanění pro ovládanou zahraniční společnost (pravidlo č. 4 směrnic ATAD) bylo </w:t>
      </w:r>
      <w:r w:rsidR="00FA6CC7">
        <w:rPr>
          <w:rFonts w:cstheme="minorHAnsi"/>
          <w:bCs/>
          <w:sz w:val="24"/>
          <w:szCs w:val="24"/>
        </w:rPr>
        <w:t xml:space="preserve">cílem </w:t>
      </w:r>
      <w:r w:rsidR="0046080E" w:rsidRPr="001A21D5">
        <w:rPr>
          <w:rFonts w:cstheme="minorHAnsi"/>
          <w:bCs/>
          <w:sz w:val="24"/>
          <w:szCs w:val="24"/>
        </w:rPr>
        <w:t>znemožnit, aby tento typ společností vůbec vznikal, neboť již nebude daňově výhodný. Primárním záměrem tohoto opatření tedy nebylo vybrat dodatečnou daň.</w:t>
      </w:r>
      <w:r w:rsidR="0046080E" w:rsidRPr="001A21D5">
        <w:rPr>
          <w:rFonts w:ascii="Calibri" w:hAnsi="Calibri" w:cs="Calibri"/>
          <w:sz w:val="24"/>
          <w:szCs w:val="24"/>
        </w:rPr>
        <w:t xml:space="preserve"> </w:t>
      </w:r>
    </w:p>
    <w:p w14:paraId="1F2077D4" w14:textId="77777777" w:rsidR="002D443E" w:rsidRPr="008B54E0" w:rsidRDefault="0046080E" w:rsidP="001A21D5">
      <w:pPr>
        <w:autoSpaceDE w:val="0"/>
        <w:autoSpaceDN w:val="0"/>
        <w:adjustRightInd w:val="0"/>
        <w:spacing w:after="0" w:line="276" w:lineRule="auto"/>
        <w:jc w:val="both"/>
        <w:rPr>
          <w:rFonts w:cstheme="minorHAnsi"/>
          <w:bCs/>
          <w:sz w:val="24"/>
          <w:szCs w:val="24"/>
        </w:rPr>
      </w:pPr>
      <w:r w:rsidRPr="001A21D5">
        <w:rPr>
          <w:rFonts w:cstheme="minorHAnsi"/>
          <w:bCs/>
          <w:sz w:val="24"/>
          <w:szCs w:val="24"/>
        </w:rPr>
        <w:t xml:space="preserve">NKÚ zjistil, že </w:t>
      </w:r>
      <w:r w:rsidRPr="001A21D5">
        <w:rPr>
          <w:rFonts w:ascii="Calibri" w:hAnsi="Calibri" w:cs="Calibri"/>
          <w:sz w:val="24"/>
          <w:szCs w:val="24"/>
        </w:rPr>
        <w:t>vliv jednotlivých opatření nelze sledovat odděleně a nelze kvantifikovat efekt opatření</w:t>
      </w:r>
      <w:r w:rsidRPr="00B97A07">
        <w:rPr>
          <w:rFonts w:ascii="Calibri" w:hAnsi="Calibri" w:cs="Calibri"/>
          <w:sz w:val="24"/>
          <w:szCs w:val="24"/>
        </w:rPr>
        <w:t>. Z příslušného řádku formuláře DAP (řádek č. 63 DAP) nelze zjistit</w:t>
      </w:r>
      <w:r w:rsidR="00C9105D" w:rsidRPr="00B97A07">
        <w:rPr>
          <w:rFonts w:ascii="Calibri" w:hAnsi="Calibri" w:cs="Calibri"/>
          <w:sz w:val="24"/>
          <w:szCs w:val="24"/>
        </w:rPr>
        <w:t>,</w:t>
      </w:r>
      <w:r w:rsidRPr="00B97A07">
        <w:rPr>
          <w:rFonts w:ascii="Calibri" w:hAnsi="Calibri" w:cs="Calibri"/>
          <w:sz w:val="24"/>
          <w:szCs w:val="24"/>
        </w:rPr>
        <w:t xml:space="preserve"> jaká úprava daně souvisí s konkrétním opatřením uvedeným ve směrnicích ATAD. Tento řádek zahrnuje všechny úpravy základu daně vyplývající z implementace směrnic ATAD dohromady (nadměrné výpůjční výdaje, zdanění při přemístění majetku beze změny vlastnictví, řešení důsledků rozdílné právní kvalifikace a zdanění ovládané zahraniční společnosti).</w:t>
      </w:r>
      <w:r w:rsidRPr="002D443E">
        <w:rPr>
          <w:rFonts w:ascii="Calibri" w:hAnsi="Calibri" w:cs="Calibri"/>
          <w:sz w:val="24"/>
          <w:szCs w:val="24"/>
        </w:rPr>
        <w:t xml:space="preserve"> Preventivní</w:t>
      </w:r>
      <w:r w:rsidRPr="001A21D5">
        <w:rPr>
          <w:rFonts w:ascii="Calibri" w:hAnsi="Calibri" w:cs="Calibri"/>
          <w:sz w:val="24"/>
          <w:szCs w:val="24"/>
        </w:rPr>
        <w:t xml:space="preserve"> či odrazující efekt uvedených opatření nelze kvantifikovat.</w:t>
      </w:r>
      <w:r w:rsidR="008B54E0">
        <w:rPr>
          <w:rFonts w:ascii="Calibri" w:hAnsi="Calibri" w:cs="Calibri"/>
          <w:sz w:val="24"/>
          <w:szCs w:val="24"/>
        </w:rPr>
        <w:t xml:space="preserve"> </w:t>
      </w:r>
    </w:p>
    <w:p w14:paraId="3BA1BE0F" w14:textId="5C5B2960" w:rsidR="0046080E" w:rsidRDefault="0046080E" w:rsidP="0046080E">
      <w:pPr>
        <w:spacing w:before="120" w:after="120"/>
        <w:jc w:val="both"/>
        <w:rPr>
          <w:rFonts w:ascii="Calibri" w:hAnsi="Calibri" w:cs="Calibri"/>
          <w:color w:val="000000" w:themeColor="text1"/>
          <w:sz w:val="24"/>
          <w:szCs w:val="24"/>
        </w:rPr>
      </w:pPr>
      <w:r w:rsidRPr="001A21D5">
        <w:rPr>
          <w:rFonts w:ascii="Calibri" w:hAnsi="Calibri" w:cs="Calibri"/>
          <w:sz w:val="24"/>
          <w:szCs w:val="24"/>
        </w:rPr>
        <w:t>NKÚ zjistil, že MF nemá z důvodu nedostatku datových zdrojů informace o účelnosti a</w:t>
      </w:r>
      <w:r w:rsidR="002D6AF9">
        <w:rPr>
          <w:rFonts w:ascii="Calibri" w:hAnsi="Calibri" w:cs="Calibri"/>
          <w:sz w:val="24"/>
          <w:szCs w:val="24"/>
        </w:rPr>
        <w:t> </w:t>
      </w:r>
      <w:r w:rsidRPr="001A21D5">
        <w:rPr>
          <w:rFonts w:ascii="Calibri" w:hAnsi="Calibri" w:cs="Calibri"/>
          <w:sz w:val="24"/>
          <w:szCs w:val="24"/>
        </w:rPr>
        <w:t>efektivnosti implementovaných pravidel a</w:t>
      </w:r>
      <w:r w:rsidR="00DA2EC3">
        <w:rPr>
          <w:rFonts w:ascii="Calibri" w:hAnsi="Calibri" w:cs="Calibri"/>
          <w:sz w:val="24"/>
          <w:szCs w:val="24"/>
        </w:rPr>
        <w:t> neví,</w:t>
      </w:r>
      <w:r w:rsidRPr="001A21D5">
        <w:rPr>
          <w:rFonts w:ascii="Calibri" w:hAnsi="Calibri" w:cs="Calibri"/>
          <w:sz w:val="24"/>
          <w:szCs w:val="24"/>
        </w:rPr>
        <w:t xml:space="preserve"> zda jejich dopady odpovídají předpokládaným dopadům</w:t>
      </w:r>
      <w:r w:rsidR="007B7CA4">
        <w:rPr>
          <w:rStyle w:val="Znakapoznpodarou"/>
          <w:rFonts w:ascii="Calibri" w:hAnsi="Calibri" w:cs="Calibri"/>
          <w:sz w:val="24"/>
          <w:szCs w:val="24"/>
        </w:rPr>
        <w:footnoteReference w:id="15"/>
      </w:r>
      <w:r w:rsidRPr="001A21D5">
        <w:rPr>
          <w:rFonts w:ascii="Calibri" w:hAnsi="Calibri" w:cs="Calibri"/>
          <w:sz w:val="24"/>
          <w:szCs w:val="24"/>
        </w:rPr>
        <w:t xml:space="preserve">. </w:t>
      </w:r>
      <w:r w:rsidRPr="001A21D5">
        <w:rPr>
          <w:rFonts w:ascii="Calibri" w:hAnsi="Calibri" w:cs="Calibri"/>
          <w:color w:val="000000" w:themeColor="text1"/>
          <w:sz w:val="24"/>
          <w:szCs w:val="24"/>
        </w:rPr>
        <w:t xml:space="preserve">MF vytvářelo pouze odhad daňové mezery na DPPO. Poslední odhad vytvořilo v závěru roku 2023 za zdaňovací období let 2015 až 2017. Pro výpočet použilo metodu </w:t>
      </w:r>
      <w:r w:rsidRPr="00B32D31">
        <w:rPr>
          <w:rFonts w:ascii="Calibri" w:hAnsi="Calibri" w:cs="Calibri"/>
          <w:color w:val="000000" w:themeColor="text1"/>
          <w:sz w:val="24"/>
          <w:szCs w:val="24"/>
        </w:rPr>
        <w:t>„</w:t>
      </w:r>
      <w:proofErr w:type="spellStart"/>
      <w:r w:rsidRPr="00814652">
        <w:rPr>
          <w:rFonts w:ascii="Calibri" w:hAnsi="Calibri" w:cs="Calibri"/>
          <w:color w:val="000000" w:themeColor="text1"/>
          <w:sz w:val="24"/>
          <w:szCs w:val="24"/>
        </w:rPr>
        <w:t>bottom</w:t>
      </w:r>
      <w:proofErr w:type="spellEnd"/>
      <w:r w:rsidRPr="00814652">
        <w:rPr>
          <w:rFonts w:ascii="Calibri" w:hAnsi="Calibri" w:cs="Calibri"/>
          <w:color w:val="000000" w:themeColor="text1"/>
          <w:sz w:val="24"/>
          <w:szCs w:val="24"/>
        </w:rPr>
        <w:t>-up</w:t>
      </w:r>
      <w:r w:rsidRPr="00B32D31">
        <w:rPr>
          <w:rFonts w:ascii="Calibri" w:hAnsi="Calibri" w:cs="Calibri"/>
          <w:color w:val="000000" w:themeColor="text1"/>
          <w:sz w:val="24"/>
          <w:szCs w:val="24"/>
        </w:rPr>
        <w:t>“,</w:t>
      </w:r>
      <w:r w:rsidRPr="001A21D5">
        <w:rPr>
          <w:rFonts w:ascii="Calibri" w:hAnsi="Calibri" w:cs="Calibri"/>
          <w:color w:val="000000" w:themeColor="text1"/>
          <w:sz w:val="24"/>
          <w:szCs w:val="24"/>
        </w:rPr>
        <w:t xml:space="preserve"> která je založena na hodnocení anonymizovaných dat z dostatečného počtu náhodných daňových kontrol. Vzhledem k použité metodice lze daňovou mezeru na DPPO odhadovat pouze za období, u kterého již uplynula lhůta pro stanovení daně. MF tedy vytvářelo odhad daňové mezery na DPPO za zdaňovací období před účinností směrnic ATAD. </w:t>
      </w:r>
    </w:p>
    <w:p w14:paraId="47050836" w14:textId="40F6039A" w:rsidR="00206B65" w:rsidRDefault="00907152" w:rsidP="00907152">
      <w:pPr>
        <w:spacing w:before="120" w:after="120"/>
        <w:jc w:val="both"/>
        <w:rPr>
          <w:rFonts w:ascii="Calibri" w:hAnsi="Calibri" w:cs="Calibri"/>
          <w:color w:val="000000" w:themeColor="text1"/>
          <w:sz w:val="24"/>
          <w:szCs w:val="24"/>
        </w:rPr>
      </w:pPr>
      <w:r w:rsidRPr="00BE026A">
        <w:rPr>
          <w:sz w:val="24"/>
          <w:szCs w:val="24"/>
        </w:rPr>
        <w:t>Závěrečná zpráva z hodnocení dopadů regulace k zákonu č. 80/2019 Sb. uvádí, že účinnost přijatých změn bude ověřována v praxi s tím, že fungování nové právní úpravy bude kontrolováno úředními osobami správců daně. MF v této zprávě nestanovilo žádné další kritérium ani termín provedení přezkumu</w:t>
      </w:r>
      <w:r w:rsidR="00490E16">
        <w:rPr>
          <w:rStyle w:val="Znakapoznpodarou"/>
          <w:sz w:val="24"/>
          <w:szCs w:val="24"/>
        </w:rPr>
        <w:footnoteReference w:id="16"/>
      </w:r>
      <w:r w:rsidRPr="00BE026A">
        <w:rPr>
          <w:sz w:val="24"/>
          <w:szCs w:val="24"/>
        </w:rPr>
        <w:t xml:space="preserve">. GFŘ žádnému orgánu do doby ukončení kontroly NKÚ neposkytlo informace o fungování nové právní úpravy v praxi a žádné informace tohoto charakteru od něj MF nevyžadovalo. </w:t>
      </w:r>
      <w:r w:rsidR="008E3160">
        <w:rPr>
          <w:rFonts w:ascii="Calibri" w:hAnsi="Calibri" w:cs="Calibri"/>
          <w:color w:val="000000" w:themeColor="text1"/>
          <w:sz w:val="24"/>
          <w:szCs w:val="24"/>
        </w:rPr>
        <w:t xml:space="preserve">MF </w:t>
      </w:r>
      <w:r w:rsidR="008E3160" w:rsidRPr="00D66F6B">
        <w:rPr>
          <w:rFonts w:ascii="Calibri" w:hAnsi="Calibri" w:cs="Calibri"/>
          <w:color w:val="000000" w:themeColor="text1"/>
          <w:sz w:val="24"/>
          <w:szCs w:val="24"/>
        </w:rPr>
        <w:t>a GFŘ</w:t>
      </w:r>
      <w:r w:rsidR="008E3160" w:rsidRPr="00B93F78">
        <w:rPr>
          <w:rFonts w:ascii="Calibri" w:hAnsi="Calibri" w:cs="Calibri"/>
          <w:color w:val="000000" w:themeColor="text1"/>
          <w:sz w:val="24"/>
          <w:szCs w:val="24"/>
        </w:rPr>
        <w:t xml:space="preserve"> </w:t>
      </w:r>
      <w:r w:rsidR="008E3160">
        <w:rPr>
          <w:rFonts w:ascii="Calibri" w:hAnsi="Calibri" w:cs="Calibri"/>
          <w:color w:val="000000" w:themeColor="text1"/>
          <w:sz w:val="24"/>
          <w:szCs w:val="24"/>
        </w:rPr>
        <w:t xml:space="preserve">neprovedly přezkum účinnosti změn provedených </w:t>
      </w:r>
      <w:r w:rsidR="008E3160" w:rsidRPr="00B93F78">
        <w:rPr>
          <w:rFonts w:ascii="Calibri" w:hAnsi="Calibri" w:cs="Calibri"/>
          <w:color w:val="000000" w:themeColor="text1"/>
          <w:sz w:val="24"/>
          <w:szCs w:val="24"/>
        </w:rPr>
        <w:t>v souvislosti s implementací směrnic ATAD</w:t>
      </w:r>
      <w:r w:rsidR="008E3160">
        <w:rPr>
          <w:rFonts w:ascii="Calibri" w:hAnsi="Calibri" w:cs="Calibri"/>
          <w:color w:val="000000" w:themeColor="text1"/>
          <w:sz w:val="24"/>
          <w:szCs w:val="24"/>
        </w:rPr>
        <w:t>.</w:t>
      </w:r>
      <w:r w:rsidR="008E3160" w:rsidRPr="00B93F78" w:rsidDel="00D760B2">
        <w:rPr>
          <w:rFonts w:ascii="Calibri" w:hAnsi="Calibri" w:cs="Calibri"/>
          <w:color w:val="000000" w:themeColor="text1"/>
          <w:sz w:val="24"/>
          <w:szCs w:val="24"/>
        </w:rPr>
        <w:t xml:space="preserve"> </w:t>
      </w:r>
    </w:p>
    <w:p w14:paraId="2718D364" w14:textId="0C6E668E" w:rsidR="0046080E" w:rsidRPr="001A21D5" w:rsidRDefault="0046080E" w:rsidP="00BF76EC">
      <w:pPr>
        <w:keepNext/>
        <w:spacing w:before="120" w:after="0" w:line="240" w:lineRule="auto"/>
        <w:ind w:left="993" w:hanging="993"/>
        <w:jc w:val="both"/>
        <w:rPr>
          <w:rFonts w:ascii="Calibri" w:hAnsi="Calibri" w:cs="Calibri"/>
          <w:b/>
          <w:sz w:val="24"/>
          <w:szCs w:val="24"/>
        </w:rPr>
      </w:pPr>
      <w:r w:rsidRPr="001A21D5">
        <w:rPr>
          <w:rFonts w:ascii="Calibri" w:hAnsi="Calibri" w:cs="Calibri"/>
          <w:b/>
          <w:sz w:val="24"/>
          <w:szCs w:val="24"/>
        </w:rPr>
        <w:t>Graf č. 1</w:t>
      </w:r>
      <w:r w:rsidR="00B32D31">
        <w:rPr>
          <w:rFonts w:ascii="Calibri" w:hAnsi="Calibri" w:cs="Calibri"/>
          <w:b/>
          <w:sz w:val="24"/>
          <w:szCs w:val="24"/>
        </w:rPr>
        <w:t>:</w:t>
      </w:r>
      <w:r w:rsidRPr="001A21D5">
        <w:rPr>
          <w:rFonts w:ascii="Calibri" w:hAnsi="Calibri" w:cs="Calibri"/>
          <w:b/>
          <w:sz w:val="24"/>
          <w:szCs w:val="24"/>
        </w:rPr>
        <w:t xml:space="preserve"> Výdaje vynaložené v souvislosti s</w:t>
      </w:r>
      <w:r w:rsidR="003B1DB7">
        <w:rPr>
          <w:rFonts w:ascii="Calibri" w:hAnsi="Calibri" w:cs="Calibri"/>
          <w:b/>
          <w:sz w:val="24"/>
          <w:szCs w:val="24"/>
        </w:rPr>
        <w:t xml:space="preserve"> implementací </w:t>
      </w:r>
      <w:r w:rsidRPr="001A21D5">
        <w:rPr>
          <w:rFonts w:ascii="Calibri" w:hAnsi="Calibri" w:cs="Calibri"/>
          <w:b/>
          <w:sz w:val="24"/>
          <w:szCs w:val="24"/>
        </w:rPr>
        <w:t>směrnic ATAD v letech 2017 až 2021</w:t>
      </w:r>
    </w:p>
    <w:p w14:paraId="7E7259A6" w14:textId="77777777" w:rsidR="0046080E" w:rsidRPr="00B855C2" w:rsidRDefault="0046080E" w:rsidP="001A21D5">
      <w:pPr>
        <w:spacing w:before="120" w:after="120" w:line="240" w:lineRule="auto"/>
        <w:jc w:val="both"/>
        <w:rPr>
          <w:rFonts w:ascii="Calibri" w:hAnsi="Calibri" w:cs="Calibri"/>
          <w:sz w:val="24"/>
          <w:szCs w:val="24"/>
        </w:rPr>
      </w:pPr>
      <w:r>
        <w:rPr>
          <w:noProof/>
        </w:rPr>
        <w:drawing>
          <wp:inline distT="0" distB="0" distL="0" distR="0" wp14:anchorId="6A5AE248" wp14:editId="3BA7C7AA">
            <wp:extent cx="5760720" cy="2361537"/>
            <wp:effectExtent l="0" t="0" r="0" b="1270"/>
            <wp:docPr id="4" name="Graf 4">
              <a:extLst xmlns:a="http://schemas.openxmlformats.org/drawingml/2006/main">
                <a:ext uri="{FF2B5EF4-FFF2-40B4-BE49-F238E27FC236}">
                  <a16:creationId xmlns:a16="http://schemas.microsoft.com/office/drawing/2014/main" id="{7F1A044F-A038-488F-882D-ED17B45576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E62999" w14:textId="0261088B" w:rsidR="00235865" w:rsidRPr="00043A3A" w:rsidRDefault="00235865" w:rsidP="0097746B">
      <w:pPr>
        <w:spacing w:after="0" w:line="240" w:lineRule="auto"/>
        <w:ind w:left="567" w:hanging="567"/>
        <w:jc w:val="both"/>
        <w:rPr>
          <w:rFonts w:ascii="Calibri" w:hAnsi="Calibri" w:cs="Calibri"/>
          <w:color w:val="000000" w:themeColor="text1"/>
          <w:sz w:val="20"/>
          <w:szCs w:val="20"/>
        </w:rPr>
      </w:pPr>
      <w:r w:rsidRPr="0097746B">
        <w:rPr>
          <w:rFonts w:ascii="Calibri" w:hAnsi="Calibri" w:cs="Calibri"/>
          <w:b/>
          <w:color w:val="000000" w:themeColor="text1"/>
          <w:sz w:val="20"/>
          <w:szCs w:val="20"/>
        </w:rPr>
        <w:t>Zdroj:</w:t>
      </w:r>
      <w:r w:rsidRPr="00043A3A">
        <w:rPr>
          <w:rFonts w:ascii="Calibri" w:hAnsi="Calibri" w:cs="Calibri"/>
          <w:color w:val="000000" w:themeColor="text1"/>
          <w:sz w:val="20"/>
          <w:szCs w:val="20"/>
        </w:rPr>
        <w:t xml:space="preserve"> vypracoval NKÚ na základě dat poskytnutých MF, GFŘ a FÚ pro Jihomoravský kraj.</w:t>
      </w:r>
    </w:p>
    <w:p w14:paraId="2FD68276" w14:textId="77777777" w:rsidR="006C3170" w:rsidRPr="001A21D5" w:rsidRDefault="00F25346" w:rsidP="0097746B">
      <w:pPr>
        <w:spacing w:after="120" w:line="240" w:lineRule="auto"/>
        <w:ind w:left="567" w:hanging="567"/>
        <w:jc w:val="both"/>
        <w:rPr>
          <w:rFonts w:ascii="Calibri" w:hAnsi="Calibri" w:cs="Calibri"/>
          <w:color w:val="000000" w:themeColor="text1"/>
          <w:sz w:val="20"/>
          <w:szCs w:val="20"/>
        </w:rPr>
      </w:pPr>
      <w:r w:rsidRPr="0097746B">
        <w:rPr>
          <w:rFonts w:ascii="Calibri" w:hAnsi="Calibri" w:cs="Calibri"/>
          <w:b/>
          <w:color w:val="000000" w:themeColor="text1"/>
          <w:sz w:val="20"/>
          <w:szCs w:val="20"/>
        </w:rPr>
        <w:t>Pozn.:</w:t>
      </w:r>
      <w:r w:rsidRPr="00043A3A">
        <w:rPr>
          <w:rFonts w:ascii="Calibri" w:hAnsi="Calibri" w:cs="Calibri"/>
          <w:color w:val="000000" w:themeColor="text1"/>
          <w:sz w:val="20"/>
          <w:szCs w:val="20"/>
        </w:rPr>
        <w:t xml:space="preserve"> NKÚ provedl výpočet mzdových výdajů vynaložených MF </w:t>
      </w:r>
      <w:r w:rsidR="00A374D9" w:rsidRPr="00043A3A">
        <w:rPr>
          <w:rFonts w:ascii="Calibri" w:hAnsi="Calibri" w:cs="Calibri"/>
          <w:color w:val="000000" w:themeColor="text1"/>
          <w:sz w:val="20"/>
          <w:szCs w:val="20"/>
        </w:rPr>
        <w:t>na</w:t>
      </w:r>
      <w:r w:rsidRPr="00043A3A">
        <w:rPr>
          <w:rFonts w:ascii="Calibri" w:hAnsi="Calibri" w:cs="Calibri"/>
          <w:color w:val="000000" w:themeColor="text1"/>
          <w:sz w:val="20"/>
          <w:szCs w:val="20"/>
        </w:rPr>
        <w:t xml:space="preserve"> zaměstnance zabývající se tvorbou hlavní transpoziční</w:t>
      </w:r>
      <w:r>
        <w:rPr>
          <w:rFonts w:ascii="Calibri" w:hAnsi="Calibri" w:cs="Calibri"/>
          <w:color w:val="000000" w:themeColor="text1"/>
          <w:sz w:val="20"/>
          <w:szCs w:val="20"/>
        </w:rPr>
        <w:t xml:space="preserve"> novely na základě kvalifikovaného odhadu časové dotace uvedeného MF a </w:t>
      </w:r>
      <w:r>
        <w:rPr>
          <w:rFonts w:eastAsia="Calibri" w:cstheme="minorHAnsi"/>
          <w:sz w:val="20"/>
          <w:szCs w:val="20"/>
        </w:rPr>
        <w:t xml:space="preserve">průměrných </w:t>
      </w:r>
      <w:r>
        <w:rPr>
          <w:rFonts w:ascii="Calibri" w:hAnsi="Calibri" w:cs="Calibri"/>
          <w:color w:val="000000" w:themeColor="text1"/>
          <w:sz w:val="20"/>
          <w:szCs w:val="20"/>
        </w:rPr>
        <w:t xml:space="preserve">mzdových výdajů vynaložených </w:t>
      </w:r>
      <w:r w:rsidR="00A374D9">
        <w:rPr>
          <w:rFonts w:ascii="Calibri" w:hAnsi="Calibri" w:cs="Calibri"/>
          <w:color w:val="000000" w:themeColor="text1"/>
          <w:sz w:val="20"/>
          <w:szCs w:val="20"/>
        </w:rPr>
        <w:t>na</w:t>
      </w:r>
      <w:r>
        <w:rPr>
          <w:rFonts w:ascii="Calibri" w:hAnsi="Calibri" w:cs="Calibri"/>
          <w:color w:val="000000" w:themeColor="text1"/>
          <w:sz w:val="20"/>
          <w:szCs w:val="20"/>
        </w:rPr>
        <w:t xml:space="preserve"> jednoho zaměstnance MF. Výpočet mzdových výdajů vynaložených GFŘ </w:t>
      </w:r>
      <w:r w:rsidR="00A374D9">
        <w:rPr>
          <w:rFonts w:ascii="Calibri" w:hAnsi="Calibri" w:cs="Calibri"/>
          <w:color w:val="000000" w:themeColor="text1"/>
          <w:sz w:val="20"/>
          <w:szCs w:val="20"/>
        </w:rPr>
        <w:t>na</w:t>
      </w:r>
      <w:r>
        <w:rPr>
          <w:rFonts w:ascii="Calibri" w:hAnsi="Calibri" w:cs="Calibri"/>
          <w:color w:val="000000" w:themeColor="text1"/>
          <w:sz w:val="20"/>
          <w:szCs w:val="20"/>
        </w:rPr>
        <w:t xml:space="preserve"> zaměstnance účastnící se školení nebo seminářů provedl NKÚ na základě kvalifikovaného odhadu časové dotace uvedeného GFŘ a FÚ pro Jihomoravský kraj a průměrných mzdových výdajů vynaložených </w:t>
      </w:r>
      <w:r w:rsidR="00A374D9">
        <w:rPr>
          <w:rFonts w:ascii="Calibri" w:hAnsi="Calibri" w:cs="Calibri"/>
          <w:color w:val="000000" w:themeColor="text1"/>
          <w:sz w:val="20"/>
          <w:szCs w:val="20"/>
        </w:rPr>
        <w:t>na</w:t>
      </w:r>
      <w:r>
        <w:rPr>
          <w:rFonts w:ascii="Calibri" w:hAnsi="Calibri" w:cs="Calibri"/>
          <w:color w:val="000000" w:themeColor="text1"/>
          <w:sz w:val="20"/>
          <w:szCs w:val="20"/>
        </w:rPr>
        <w:t xml:space="preserve"> jednoho zaměstnance FS ČR vykonávajícího činnosti související se správou DPPO.</w:t>
      </w:r>
    </w:p>
    <w:p w14:paraId="5357C554" w14:textId="5F915D63" w:rsidR="0046080E" w:rsidRPr="00CD0877" w:rsidRDefault="0046080E" w:rsidP="001A21D5">
      <w:pPr>
        <w:spacing w:before="120" w:after="120"/>
        <w:jc w:val="both"/>
        <w:rPr>
          <w:rFonts w:ascii="Calibri" w:hAnsi="Calibri" w:cs="Calibri"/>
          <w:sz w:val="24"/>
          <w:szCs w:val="24"/>
        </w:rPr>
      </w:pPr>
      <w:r w:rsidRPr="001A21D5">
        <w:rPr>
          <w:rFonts w:ascii="Calibri" w:hAnsi="Calibri" w:cs="Calibri"/>
          <w:color w:val="000000" w:themeColor="text1"/>
          <w:sz w:val="24"/>
          <w:szCs w:val="24"/>
        </w:rPr>
        <w:t xml:space="preserve">NKÚ zjistil, že MF a GFŘ v letech 2017 až 2021 vynaložily </w:t>
      </w:r>
      <w:r w:rsidR="00AF36C4">
        <w:rPr>
          <w:rFonts w:ascii="Calibri" w:hAnsi="Calibri" w:cs="Calibri"/>
          <w:color w:val="000000" w:themeColor="text1"/>
          <w:sz w:val="24"/>
          <w:szCs w:val="24"/>
        </w:rPr>
        <w:t>peněžní prostředky ve výši</w:t>
      </w:r>
      <w:r w:rsidR="0097746B">
        <w:rPr>
          <w:rFonts w:ascii="Calibri" w:hAnsi="Calibri" w:cs="Calibri"/>
          <w:color w:val="000000" w:themeColor="text1"/>
          <w:sz w:val="24"/>
          <w:szCs w:val="24"/>
        </w:rPr>
        <w:t xml:space="preserve"> </w:t>
      </w:r>
      <w:r w:rsidRPr="001A21D5">
        <w:rPr>
          <w:rFonts w:ascii="Calibri" w:hAnsi="Calibri" w:cs="Calibri"/>
          <w:color w:val="000000" w:themeColor="text1"/>
          <w:sz w:val="24"/>
          <w:szCs w:val="24"/>
        </w:rPr>
        <w:t>21 864</w:t>
      </w:r>
      <w:r w:rsidR="0097746B">
        <w:rPr>
          <w:rFonts w:ascii="Calibri" w:hAnsi="Calibri" w:cs="Calibri"/>
          <w:color w:val="000000" w:themeColor="text1"/>
          <w:sz w:val="24"/>
          <w:szCs w:val="24"/>
        </w:rPr>
        <w:t> </w:t>
      </w:r>
      <w:r w:rsidRPr="001A21D5">
        <w:rPr>
          <w:rFonts w:ascii="Calibri" w:hAnsi="Calibri" w:cs="Calibri"/>
          <w:color w:val="000000" w:themeColor="text1"/>
          <w:sz w:val="24"/>
          <w:szCs w:val="24"/>
        </w:rPr>
        <w:t>958</w:t>
      </w:r>
      <w:r w:rsidR="0097746B">
        <w:rPr>
          <w:rFonts w:ascii="Calibri" w:hAnsi="Calibri" w:cs="Calibri"/>
          <w:color w:val="000000" w:themeColor="text1"/>
          <w:sz w:val="24"/>
          <w:szCs w:val="24"/>
        </w:rPr>
        <w:t> </w:t>
      </w:r>
      <w:r w:rsidRPr="001A21D5">
        <w:rPr>
          <w:rFonts w:ascii="Calibri" w:hAnsi="Calibri" w:cs="Calibri"/>
          <w:color w:val="000000" w:themeColor="text1"/>
          <w:sz w:val="24"/>
          <w:szCs w:val="24"/>
        </w:rPr>
        <w:t>Kč v souvislosti s implementací směrnic ATAD na</w:t>
      </w:r>
      <w:r w:rsidRPr="001A21D5">
        <w:rPr>
          <w:rFonts w:ascii="Calibri" w:hAnsi="Calibri" w:cs="Calibri"/>
          <w:sz w:val="24"/>
          <w:szCs w:val="24"/>
        </w:rPr>
        <w:t xml:space="preserve"> zaměstnance MF zabývající se tvorbou hlavní transpoziční novely zákona </w:t>
      </w:r>
      <w:r w:rsidR="004B1164">
        <w:rPr>
          <w:rFonts w:ascii="Calibri" w:hAnsi="Calibri" w:cs="Calibri"/>
          <w:sz w:val="24"/>
          <w:szCs w:val="24"/>
        </w:rPr>
        <w:t>o daních z příjmů</w:t>
      </w:r>
      <w:r w:rsidRPr="001A21D5">
        <w:rPr>
          <w:rFonts w:ascii="Calibri" w:hAnsi="Calibri" w:cs="Calibri"/>
          <w:sz w:val="24"/>
          <w:szCs w:val="24"/>
        </w:rPr>
        <w:t xml:space="preserve">, </w:t>
      </w:r>
      <w:r w:rsidR="00891251">
        <w:rPr>
          <w:rFonts w:ascii="Calibri" w:hAnsi="Calibri" w:cs="Calibri"/>
          <w:sz w:val="24"/>
          <w:szCs w:val="24"/>
        </w:rPr>
        <w:t xml:space="preserve">na </w:t>
      </w:r>
      <w:r w:rsidRPr="001A21D5">
        <w:rPr>
          <w:rFonts w:ascii="Calibri" w:hAnsi="Calibri" w:cs="Calibri"/>
          <w:sz w:val="24"/>
          <w:szCs w:val="24"/>
        </w:rPr>
        <w:t>zaměstnance FS ČR účastnící se školení nebo seminářů a</w:t>
      </w:r>
      <w:r w:rsidR="00891251">
        <w:rPr>
          <w:rFonts w:ascii="Calibri" w:hAnsi="Calibri" w:cs="Calibri"/>
          <w:sz w:val="24"/>
          <w:szCs w:val="24"/>
        </w:rPr>
        <w:t xml:space="preserve"> na</w:t>
      </w:r>
      <w:r w:rsidRPr="001A21D5">
        <w:rPr>
          <w:rFonts w:ascii="Calibri" w:hAnsi="Calibri" w:cs="Calibri"/>
          <w:sz w:val="24"/>
          <w:szCs w:val="24"/>
        </w:rPr>
        <w:t xml:space="preserve"> úpravu ADIS. </w:t>
      </w:r>
    </w:p>
    <w:p w14:paraId="35D4EDC0" w14:textId="77777777" w:rsidR="006C3DE4" w:rsidRDefault="000874AC" w:rsidP="0097746B">
      <w:pPr>
        <w:keepNext/>
        <w:spacing w:before="240" w:after="120"/>
        <w:ind w:left="284" w:hanging="284"/>
        <w:jc w:val="both"/>
        <w:rPr>
          <w:rFonts w:ascii="Calibri" w:hAnsi="Calibri" w:cs="Calibri"/>
          <w:b/>
          <w:sz w:val="24"/>
          <w:szCs w:val="24"/>
        </w:rPr>
      </w:pPr>
      <w:r>
        <w:rPr>
          <w:rFonts w:ascii="Calibri" w:hAnsi="Calibri" w:cs="Calibri"/>
          <w:b/>
          <w:sz w:val="24"/>
          <w:szCs w:val="24"/>
        </w:rPr>
        <w:t>2.</w:t>
      </w:r>
      <w:r w:rsidRPr="00382C17" w:rsidDel="00BB4AE3">
        <w:rPr>
          <w:rFonts w:ascii="Calibri" w:hAnsi="Calibri" w:cs="Calibri"/>
          <w:b/>
          <w:sz w:val="24"/>
          <w:szCs w:val="24"/>
        </w:rPr>
        <w:t xml:space="preserve"> </w:t>
      </w:r>
      <w:bookmarkStart w:id="3" w:name="_Hlk174005635"/>
      <w:r w:rsidR="006C3DE4" w:rsidRPr="006C3DE4">
        <w:rPr>
          <w:rFonts w:ascii="Calibri" w:hAnsi="Calibri" w:cs="Calibri"/>
          <w:b/>
          <w:sz w:val="24"/>
          <w:szCs w:val="24"/>
        </w:rPr>
        <w:t>GFŘ nenastavilo postup pro předávání všech informací z oznámení DAC6 správcům daně</w:t>
      </w:r>
    </w:p>
    <w:p w14:paraId="719F683B" w14:textId="1C2440C1" w:rsidR="000874AC" w:rsidRDefault="000874AC" w:rsidP="006C3DE4">
      <w:pPr>
        <w:spacing w:before="120" w:after="120"/>
        <w:jc w:val="both"/>
        <w:rPr>
          <w:rFonts w:cstheme="minorHAnsi"/>
          <w:sz w:val="24"/>
          <w:szCs w:val="24"/>
        </w:rPr>
      </w:pPr>
      <w:r w:rsidRPr="00511038">
        <w:rPr>
          <w:rFonts w:cstheme="minorHAnsi"/>
          <w:sz w:val="24"/>
          <w:szCs w:val="24"/>
        </w:rPr>
        <w:t xml:space="preserve">Výměna informací </w:t>
      </w:r>
      <w:r>
        <w:rPr>
          <w:rFonts w:cstheme="minorHAnsi"/>
          <w:sz w:val="24"/>
          <w:szCs w:val="24"/>
        </w:rPr>
        <w:t>z oznámení</w:t>
      </w:r>
      <w:r w:rsidRPr="00511038">
        <w:rPr>
          <w:rFonts w:cstheme="minorHAnsi"/>
          <w:sz w:val="24"/>
          <w:szCs w:val="24"/>
        </w:rPr>
        <w:t xml:space="preserve"> DAC6 měla zrychlit a zpřesnit vyhodnocení rizik orgány FS ČR, jež </w:t>
      </w:r>
      <w:r>
        <w:rPr>
          <w:rFonts w:cstheme="minorHAnsi"/>
          <w:sz w:val="24"/>
          <w:szCs w:val="24"/>
        </w:rPr>
        <w:t>mohou</w:t>
      </w:r>
      <w:r w:rsidRPr="00511038">
        <w:rPr>
          <w:rFonts w:cstheme="minorHAnsi"/>
          <w:sz w:val="24"/>
          <w:szCs w:val="24"/>
        </w:rPr>
        <w:t xml:space="preserve"> na základě podaných oznámení DAC6 </w:t>
      </w:r>
      <w:r w:rsidRPr="00511038">
        <w:rPr>
          <w:rFonts w:cstheme="minorHAnsi"/>
          <w:bCs/>
          <w:sz w:val="24"/>
          <w:szCs w:val="24"/>
        </w:rPr>
        <w:t>přijmout v reakci na zamýšlené praktiky podniků včasná a</w:t>
      </w:r>
      <w:r>
        <w:rPr>
          <w:rFonts w:cstheme="minorHAnsi"/>
          <w:bCs/>
          <w:sz w:val="24"/>
          <w:szCs w:val="24"/>
        </w:rPr>
        <w:t> </w:t>
      </w:r>
      <w:r w:rsidRPr="00511038">
        <w:rPr>
          <w:rFonts w:cstheme="minorHAnsi"/>
          <w:bCs/>
          <w:sz w:val="24"/>
          <w:szCs w:val="24"/>
        </w:rPr>
        <w:t>informovaná rozhodnutí</w:t>
      </w:r>
      <w:r w:rsidRPr="00511038">
        <w:rPr>
          <w:rFonts w:cstheme="minorHAnsi"/>
          <w:sz w:val="24"/>
          <w:szCs w:val="24"/>
        </w:rPr>
        <w:t>, která ochrání daňové příjmy např. změnou právní úpravy nebo lepším zacílením kontrolních postupů</w:t>
      </w:r>
      <w:r>
        <w:rPr>
          <w:rStyle w:val="Znakapoznpodarou"/>
        </w:rPr>
        <w:footnoteReference w:id="17"/>
      </w:r>
      <w:r w:rsidRPr="00511038">
        <w:rPr>
          <w:rFonts w:cstheme="minorHAnsi"/>
          <w:sz w:val="24"/>
          <w:szCs w:val="24"/>
        </w:rPr>
        <w:t>.</w:t>
      </w:r>
      <w:bookmarkEnd w:id="3"/>
    </w:p>
    <w:p w14:paraId="0B6E8976" w14:textId="66B89534" w:rsidR="000874AC" w:rsidRPr="009D0A0B" w:rsidRDefault="000874AC" w:rsidP="000874AC">
      <w:pPr>
        <w:spacing w:before="120" w:after="120"/>
        <w:jc w:val="both"/>
        <w:rPr>
          <w:rFonts w:cstheme="minorHAnsi"/>
          <w:sz w:val="24"/>
          <w:szCs w:val="24"/>
        </w:rPr>
      </w:pPr>
      <w:r>
        <w:rPr>
          <w:sz w:val="24"/>
          <w:szCs w:val="24"/>
        </w:rPr>
        <w:t>Předmětem oznámení DAC6 jsou přeshraniční uspořádání, která jsou identifikována jako potenciálně agresivní daňové plánování</w:t>
      </w:r>
      <w:r w:rsidR="000E7256" w:rsidRPr="00BC74FD">
        <w:rPr>
          <w:sz w:val="24"/>
          <w:szCs w:val="24"/>
          <w:vertAlign w:val="superscript"/>
        </w:rPr>
        <w:t>1</w:t>
      </w:r>
      <w:r w:rsidR="00B04316" w:rsidRPr="00BC74FD">
        <w:rPr>
          <w:sz w:val="24"/>
          <w:szCs w:val="24"/>
          <w:vertAlign w:val="superscript"/>
        </w:rPr>
        <w:t>1</w:t>
      </w:r>
      <w:r>
        <w:rPr>
          <w:sz w:val="24"/>
          <w:szCs w:val="24"/>
        </w:rPr>
        <w:t xml:space="preserve">. </w:t>
      </w:r>
      <w:r w:rsidRPr="00DF4AC2">
        <w:rPr>
          <w:sz w:val="24"/>
          <w:szCs w:val="24"/>
        </w:rPr>
        <w:t>Může se například jednat o postup obsažený v</w:t>
      </w:r>
      <w:r w:rsidR="00692625">
        <w:rPr>
          <w:sz w:val="24"/>
          <w:szCs w:val="24"/>
        </w:rPr>
        <w:t> </w:t>
      </w:r>
      <w:r w:rsidRPr="00DF4AC2">
        <w:rPr>
          <w:sz w:val="24"/>
          <w:szCs w:val="24"/>
        </w:rPr>
        <w:t>doporučení, návodu, stanovisku či jiné obdobné písemnosti, který byl vytvořen daňovým poradcem pro klienta tak, aby z něj tento klient získal daňovou výhodu. Případně může jít o</w:t>
      </w:r>
      <w:r w:rsidR="002D6AF9">
        <w:rPr>
          <w:sz w:val="24"/>
          <w:szCs w:val="24"/>
        </w:rPr>
        <w:t> </w:t>
      </w:r>
      <w:r w:rsidRPr="00DF4AC2">
        <w:rPr>
          <w:sz w:val="24"/>
          <w:szCs w:val="24"/>
        </w:rPr>
        <w:t xml:space="preserve">postup prezentovaný na školení, jak u klienta zavést konkrétní </w:t>
      </w:r>
      <w:r w:rsidR="00B32D31">
        <w:rPr>
          <w:sz w:val="24"/>
          <w:szCs w:val="24"/>
        </w:rPr>
        <w:t>procesy</w:t>
      </w:r>
      <w:r w:rsidRPr="00DF4AC2">
        <w:rPr>
          <w:sz w:val="24"/>
          <w:szCs w:val="24"/>
        </w:rPr>
        <w:t>.</w:t>
      </w:r>
    </w:p>
    <w:p w14:paraId="2A9C283E" w14:textId="5240CE7F" w:rsidR="000874AC" w:rsidRDefault="000874AC" w:rsidP="000874AC">
      <w:pPr>
        <w:jc w:val="both"/>
        <w:rPr>
          <w:rFonts w:cstheme="minorHAnsi"/>
          <w:sz w:val="24"/>
          <w:szCs w:val="24"/>
          <w:lang w:eastAsia="cs-CZ"/>
        </w:rPr>
      </w:pPr>
      <w:r>
        <w:rPr>
          <w:rFonts w:cstheme="minorHAnsi"/>
          <w:sz w:val="24"/>
          <w:szCs w:val="24"/>
        </w:rPr>
        <w:t xml:space="preserve">Agendu oznámení DAC6 podaných od subjektů v ČR (dále také </w:t>
      </w:r>
      <w:r w:rsidRPr="007728DC">
        <w:rPr>
          <w:rFonts w:cstheme="minorHAnsi"/>
          <w:sz w:val="24"/>
          <w:szCs w:val="24"/>
        </w:rPr>
        <w:t>„</w:t>
      </w:r>
      <w:r w:rsidRPr="00814652">
        <w:rPr>
          <w:rFonts w:cstheme="minorHAnsi"/>
          <w:sz w:val="24"/>
          <w:szCs w:val="24"/>
        </w:rPr>
        <w:t>odchozí oznámení DAC6</w:t>
      </w:r>
      <w:r w:rsidRPr="007728DC">
        <w:rPr>
          <w:rFonts w:cstheme="minorHAnsi"/>
          <w:sz w:val="24"/>
          <w:szCs w:val="24"/>
        </w:rPr>
        <w:t>“</w:t>
      </w:r>
      <w:r>
        <w:rPr>
          <w:rFonts w:cstheme="minorHAnsi"/>
          <w:sz w:val="24"/>
          <w:szCs w:val="24"/>
        </w:rPr>
        <w:t>) zajišťoval SFÚ. V letech 2020 až 2023 bylo v ČR podáno celkem 210 odchozích oznámení DAC6</w:t>
      </w:r>
      <w:r w:rsidR="00784497">
        <w:rPr>
          <w:rFonts w:cstheme="minorHAnsi"/>
          <w:sz w:val="24"/>
          <w:szCs w:val="24"/>
        </w:rPr>
        <w:t>.</w:t>
      </w:r>
      <w:r>
        <w:rPr>
          <w:rFonts w:cstheme="minorHAnsi"/>
          <w:sz w:val="24"/>
          <w:szCs w:val="24"/>
        </w:rPr>
        <w:t xml:space="preserve"> </w:t>
      </w:r>
      <w:r>
        <w:rPr>
          <w:rFonts w:cstheme="minorHAnsi"/>
          <w:sz w:val="24"/>
          <w:szCs w:val="24"/>
          <w:lang w:eastAsia="cs-CZ"/>
        </w:rPr>
        <w:t>NKÚ zjistil, že téměř 12 % daňových subjektů splnilo oznamovací povinnost</w:t>
      </w:r>
      <w:r w:rsidR="00310185">
        <w:rPr>
          <w:rFonts w:cstheme="minorHAnsi"/>
          <w:sz w:val="24"/>
          <w:szCs w:val="24"/>
          <w:lang w:eastAsia="cs-CZ"/>
        </w:rPr>
        <w:t xml:space="preserve"> </w:t>
      </w:r>
      <w:r w:rsidR="00AC23D9">
        <w:rPr>
          <w:rFonts w:cstheme="minorHAnsi"/>
          <w:sz w:val="24"/>
          <w:szCs w:val="24"/>
          <w:lang w:eastAsia="cs-CZ"/>
        </w:rPr>
        <w:t xml:space="preserve">po </w:t>
      </w:r>
      <w:r>
        <w:rPr>
          <w:rFonts w:cstheme="minorHAnsi"/>
          <w:sz w:val="24"/>
          <w:szCs w:val="24"/>
          <w:lang w:eastAsia="cs-CZ"/>
        </w:rPr>
        <w:t>lhůtě</w:t>
      </w:r>
      <w:r w:rsidR="00AC23D9" w:rsidRPr="00AC23D9">
        <w:rPr>
          <w:rFonts w:cstheme="minorHAnsi"/>
          <w:sz w:val="24"/>
          <w:szCs w:val="24"/>
          <w:lang w:eastAsia="cs-CZ"/>
        </w:rPr>
        <w:t xml:space="preserve"> </w:t>
      </w:r>
      <w:r w:rsidR="00AC23D9">
        <w:rPr>
          <w:rFonts w:cstheme="minorHAnsi"/>
          <w:sz w:val="24"/>
          <w:szCs w:val="24"/>
          <w:lang w:eastAsia="cs-CZ"/>
        </w:rPr>
        <w:t>stanovené</w:t>
      </w:r>
      <w:r w:rsidR="00AC23D9" w:rsidRPr="00AC23D9">
        <w:rPr>
          <w:rFonts w:cstheme="minorHAnsi"/>
          <w:sz w:val="24"/>
          <w:szCs w:val="24"/>
          <w:lang w:eastAsia="cs-CZ"/>
        </w:rPr>
        <w:t xml:space="preserve"> </w:t>
      </w:r>
      <w:r w:rsidR="00AC23D9">
        <w:rPr>
          <w:rFonts w:cstheme="minorHAnsi"/>
          <w:sz w:val="24"/>
          <w:szCs w:val="24"/>
          <w:lang w:eastAsia="cs-CZ"/>
        </w:rPr>
        <w:t>zákonem</w:t>
      </w:r>
      <w:r>
        <w:rPr>
          <w:rFonts w:cstheme="minorHAnsi"/>
          <w:sz w:val="24"/>
          <w:szCs w:val="24"/>
          <w:lang w:eastAsia="cs-CZ"/>
        </w:rPr>
        <w:t xml:space="preserve">. Detekce oznamovaných uspořádání ze strany správce daně je možná pouze na základě kontrolní činnosti či místního šetření provedených u daňových subjektů. Do doby </w:t>
      </w:r>
      <w:r w:rsidR="00FA6CC7">
        <w:rPr>
          <w:rFonts w:cstheme="minorHAnsi"/>
          <w:sz w:val="24"/>
          <w:szCs w:val="24"/>
          <w:lang w:eastAsia="cs-CZ"/>
        </w:rPr>
        <w:t xml:space="preserve">ukončení </w:t>
      </w:r>
      <w:r>
        <w:rPr>
          <w:rFonts w:cstheme="minorHAnsi"/>
          <w:sz w:val="24"/>
          <w:szCs w:val="24"/>
          <w:lang w:eastAsia="cs-CZ"/>
        </w:rPr>
        <w:t>kontroly NKÚ nezjistil SFÚ v kontrolní činnosti žádný případ, kdy mělo být podáno odchozí oznámení DAC</w:t>
      </w:r>
      <w:r w:rsidR="00A420E6">
        <w:rPr>
          <w:rFonts w:cstheme="minorHAnsi"/>
          <w:sz w:val="24"/>
          <w:szCs w:val="24"/>
          <w:lang w:eastAsia="cs-CZ"/>
        </w:rPr>
        <w:t>6</w:t>
      </w:r>
      <w:r>
        <w:rPr>
          <w:rFonts w:cstheme="minorHAnsi"/>
          <w:sz w:val="24"/>
          <w:szCs w:val="24"/>
          <w:lang w:eastAsia="cs-CZ"/>
        </w:rPr>
        <w:t>, ale nebylo. SFÚ data z odchozích oznámení DAC6 odesílá GFŘ, které je předává do centrálního uložiště EU.</w:t>
      </w:r>
    </w:p>
    <w:p w14:paraId="43C0AB17" w14:textId="77777777" w:rsidR="000874AC" w:rsidRPr="00C00F73" w:rsidRDefault="000874AC" w:rsidP="000874AC">
      <w:pPr>
        <w:jc w:val="both"/>
        <w:rPr>
          <w:rFonts w:cstheme="minorHAnsi"/>
          <w:sz w:val="24"/>
          <w:szCs w:val="24"/>
        </w:rPr>
      </w:pPr>
      <w:r>
        <w:rPr>
          <w:rFonts w:cstheme="minorHAnsi"/>
          <w:sz w:val="24"/>
          <w:szCs w:val="24"/>
        </w:rPr>
        <w:t xml:space="preserve">Agendu oznámení podaných v zahraničí a týkajících se subjektů z ČR (dále také </w:t>
      </w:r>
      <w:r w:rsidRPr="007728DC">
        <w:rPr>
          <w:rFonts w:cstheme="minorHAnsi"/>
          <w:sz w:val="24"/>
          <w:szCs w:val="24"/>
        </w:rPr>
        <w:t>„</w:t>
      </w:r>
      <w:r w:rsidRPr="00814652">
        <w:rPr>
          <w:rFonts w:cstheme="minorHAnsi"/>
          <w:sz w:val="24"/>
          <w:szCs w:val="24"/>
        </w:rPr>
        <w:t>příchozí oznámení DAC6</w:t>
      </w:r>
      <w:r w:rsidRPr="007728DC">
        <w:rPr>
          <w:rFonts w:cstheme="minorHAnsi"/>
          <w:sz w:val="24"/>
          <w:szCs w:val="24"/>
        </w:rPr>
        <w:t>“</w:t>
      </w:r>
      <w:r>
        <w:rPr>
          <w:rFonts w:cstheme="minorHAnsi"/>
          <w:sz w:val="24"/>
          <w:szCs w:val="24"/>
        </w:rPr>
        <w:t>) zajišťuje GFŘ. V letech 2020 až 2023 obdrželo GFŘ celkem 717 příchozích oznámení DAC6, ve kterých figurovala ČR jako dotčený stát v rámci oznamovaného přeshraničního uspořádání.</w:t>
      </w:r>
    </w:p>
    <w:p w14:paraId="51705FA8" w14:textId="7B266789" w:rsidR="000874AC" w:rsidRDefault="000874AC" w:rsidP="000874AC">
      <w:pPr>
        <w:spacing w:before="120" w:after="120"/>
        <w:jc w:val="both"/>
        <w:rPr>
          <w:rFonts w:cstheme="minorHAnsi"/>
          <w:sz w:val="24"/>
          <w:szCs w:val="24"/>
        </w:rPr>
      </w:pPr>
      <w:r>
        <w:rPr>
          <w:rFonts w:cstheme="minorHAnsi"/>
          <w:sz w:val="24"/>
          <w:szCs w:val="24"/>
        </w:rPr>
        <w:t>P</w:t>
      </w:r>
      <w:r w:rsidRPr="00511038">
        <w:rPr>
          <w:rFonts w:cstheme="minorHAnsi"/>
          <w:sz w:val="24"/>
          <w:szCs w:val="24"/>
        </w:rPr>
        <w:t xml:space="preserve">říchozí a odchozí oznámení DAC6 jsou soustředěna v agregační databázi a veškerá data v nich obsažená </w:t>
      </w:r>
      <w:r w:rsidR="003A57E3" w:rsidRPr="00511038">
        <w:rPr>
          <w:rFonts w:cstheme="minorHAnsi"/>
          <w:sz w:val="24"/>
          <w:szCs w:val="24"/>
        </w:rPr>
        <w:t>m</w:t>
      </w:r>
      <w:r w:rsidR="003A57E3">
        <w:rPr>
          <w:rFonts w:cstheme="minorHAnsi"/>
          <w:sz w:val="24"/>
          <w:szCs w:val="24"/>
        </w:rPr>
        <w:t>ěli</w:t>
      </w:r>
      <w:r w:rsidR="003A57E3" w:rsidRPr="00511038">
        <w:rPr>
          <w:rFonts w:cstheme="minorHAnsi"/>
          <w:sz w:val="24"/>
          <w:szCs w:val="24"/>
        </w:rPr>
        <w:t xml:space="preserve"> </w:t>
      </w:r>
      <w:r w:rsidRPr="00511038">
        <w:rPr>
          <w:rFonts w:cstheme="minorHAnsi"/>
          <w:sz w:val="24"/>
          <w:szCs w:val="24"/>
        </w:rPr>
        <w:t>k dispozici pouze vybraní zaměstnanci GFŘ, kteří vyhodnoc</w:t>
      </w:r>
      <w:r>
        <w:rPr>
          <w:rFonts w:cstheme="minorHAnsi"/>
          <w:sz w:val="24"/>
          <w:szCs w:val="24"/>
        </w:rPr>
        <w:t>ovali</w:t>
      </w:r>
      <w:r w:rsidRPr="00511038">
        <w:rPr>
          <w:rFonts w:cstheme="minorHAnsi"/>
          <w:sz w:val="24"/>
          <w:szCs w:val="24"/>
        </w:rPr>
        <w:t xml:space="preserve">, zda údaje v nich obsažené mají nějakou relevanci pro orgány FS ČR. </w:t>
      </w:r>
      <w:r w:rsidRPr="00554E7C">
        <w:rPr>
          <w:rFonts w:ascii="Calibri" w:eastAsia="Calibri" w:hAnsi="Calibri" w:cs="Arial"/>
          <w:sz w:val="24"/>
          <w:szCs w:val="24"/>
        </w:rPr>
        <w:t>Pokud tedy dané uspořádaní vzbuz</w:t>
      </w:r>
      <w:r>
        <w:rPr>
          <w:rFonts w:ascii="Calibri" w:eastAsia="Calibri" w:hAnsi="Calibri" w:cs="Arial"/>
          <w:sz w:val="24"/>
          <w:szCs w:val="24"/>
        </w:rPr>
        <w:t>ovalo</w:t>
      </w:r>
      <w:r w:rsidRPr="00554E7C">
        <w:rPr>
          <w:rFonts w:ascii="Calibri" w:eastAsia="Calibri" w:hAnsi="Calibri" w:cs="Arial"/>
          <w:sz w:val="24"/>
          <w:szCs w:val="24"/>
        </w:rPr>
        <w:t xml:space="preserve"> pochybnosti, </w:t>
      </w:r>
      <w:r w:rsidR="00B855C2">
        <w:rPr>
          <w:rFonts w:ascii="Calibri" w:eastAsia="Calibri" w:hAnsi="Calibri" w:cs="Arial"/>
          <w:sz w:val="24"/>
          <w:szCs w:val="24"/>
        </w:rPr>
        <w:t xml:space="preserve">zaslalo GFŘ oznámení místně příslušnému </w:t>
      </w:r>
      <w:r w:rsidR="00347E21">
        <w:rPr>
          <w:rFonts w:ascii="Calibri" w:eastAsia="Calibri" w:hAnsi="Calibri" w:cs="Arial"/>
          <w:sz w:val="24"/>
          <w:szCs w:val="24"/>
        </w:rPr>
        <w:t>FÚ k prověření</w:t>
      </w:r>
      <w:r w:rsidRPr="00554E7C">
        <w:rPr>
          <w:rFonts w:ascii="Calibri" w:eastAsia="Calibri" w:hAnsi="Calibri" w:cs="Arial"/>
          <w:sz w:val="24"/>
          <w:szCs w:val="24"/>
        </w:rPr>
        <w:t xml:space="preserve">. </w:t>
      </w:r>
      <w:r w:rsidRPr="00511038">
        <w:rPr>
          <w:rFonts w:cstheme="minorHAnsi"/>
          <w:sz w:val="24"/>
          <w:szCs w:val="24"/>
        </w:rPr>
        <w:t xml:space="preserve">Do doby </w:t>
      </w:r>
      <w:r>
        <w:rPr>
          <w:rFonts w:cstheme="minorHAnsi"/>
          <w:sz w:val="24"/>
          <w:szCs w:val="24"/>
        </w:rPr>
        <w:t xml:space="preserve">ukončení </w:t>
      </w:r>
      <w:r w:rsidRPr="00511038">
        <w:rPr>
          <w:rFonts w:cstheme="minorHAnsi"/>
          <w:sz w:val="24"/>
          <w:szCs w:val="24"/>
        </w:rPr>
        <w:t xml:space="preserve">kontroly NKÚ </w:t>
      </w:r>
      <w:r>
        <w:rPr>
          <w:rFonts w:cstheme="minorHAnsi"/>
          <w:sz w:val="24"/>
          <w:szCs w:val="24"/>
        </w:rPr>
        <w:t>měli zaměstnanci GFŘ pochybnosti o přeshraničním uspořádání ve dvou</w:t>
      </w:r>
      <w:r w:rsidRPr="00511038">
        <w:rPr>
          <w:rFonts w:cstheme="minorHAnsi"/>
          <w:sz w:val="24"/>
          <w:szCs w:val="24"/>
        </w:rPr>
        <w:t xml:space="preserve"> případ</w:t>
      </w:r>
      <w:r>
        <w:rPr>
          <w:rFonts w:cstheme="minorHAnsi"/>
          <w:sz w:val="24"/>
          <w:szCs w:val="24"/>
        </w:rPr>
        <w:t>ech</w:t>
      </w:r>
      <w:r w:rsidRPr="00511038">
        <w:rPr>
          <w:rFonts w:cstheme="minorHAnsi"/>
          <w:sz w:val="24"/>
          <w:szCs w:val="24"/>
        </w:rPr>
        <w:t xml:space="preserve">. NKÚ zjistil, že ani v jednom </w:t>
      </w:r>
      <w:r>
        <w:rPr>
          <w:rFonts w:cstheme="minorHAnsi"/>
          <w:sz w:val="24"/>
          <w:szCs w:val="24"/>
        </w:rPr>
        <w:t>z těchto</w:t>
      </w:r>
      <w:r w:rsidRPr="00511038">
        <w:rPr>
          <w:rFonts w:cstheme="minorHAnsi"/>
          <w:sz w:val="24"/>
          <w:szCs w:val="24"/>
        </w:rPr>
        <w:t xml:space="preserve"> případů se nejednalo o identifikaci </w:t>
      </w:r>
      <w:r w:rsidR="00214768">
        <w:rPr>
          <w:rFonts w:cstheme="minorHAnsi"/>
          <w:sz w:val="24"/>
          <w:szCs w:val="24"/>
        </w:rPr>
        <w:t xml:space="preserve">rizika s dopadem </w:t>
      </w:r>
      <w:r w:rsidR="007728DC">
        <w:rPr>
          <w:rFonts w:cstheme="minorHAnsi"/>
          <w:sz w:val="24"/>
          <w:szCs w:val="24"/>
        </w:rPr>
        <w:t>na</w:t>
      </w:r>
      <w:r w:rsidR="00214768">
        <w:rPr>
          <w:rFonts w:cstheme="minorHAnsi"/>
          <w:sz w:val="24"/>
          <w:szCs w:val="24"/>
        </w:rPr>
        <w:t xml:space="preserve"> daňov</w:t>
      </w:r>
      <w:r w:rsidR="007728DC">
        <w:rPr>
          <w:rFonts w:cstheme="minorHAnsi"/>
          <w:sz w:val="24"/>
          <w:szCs w:val="24"/>
        </w:rPr>
        <w:t>é</w:t>
      </w:r>
      <w:r w:rsidR="00214768">
        <w:rPr>
          <w:rFonts w:cstheme="minorHAnsi"/>
          <w:sz w:val="24"/>
          <w:szCs w:val="24"/>
        </w:rPr>
        <w:t xml:space="preserve"> příjm</w:t>
      </w:r>
      <w:r w:rsidR="007728DC">
        <w:rPr>
          <w:rFonts w:cstheme="minorHAnsi"/>
          <w:sz w:val="24"/>
          <w:szCs w:val="24"/>
        </w:rPr>
        <w:t>y</w:t>
      </w:r>
      <w:r w:rsidRPr="00511038">
        <w:rPr>
          <w:rFonts w:cstheme="minorHAnsi"/>
          <w:sz w:val="24"/>
          <w:szCs w:val="24"/>
        </w:rPr>
        <w:t>, informace z oznámení DAC6 nebyly využity v rámci kontrolní činnosti</w:t>
      </w:r>
      <w:r>
        <w:rPr>
          <w:rFonts w:cstheme="minorHAnsi"/>
          <w:sz w:val="24"/>
          <w:szCs w:val="24"/>
        </w:rPr>
        <w:t>.</w:t>
      </w:r>
      <w:r w:rsidRPr="00511038">
        <w:rPr>
          <w:rFonts w:cstheme="minorHAnsi"/>
          <w:sz w:val="24"/>
          <w:szCs w:val="24"/>
        </w:rPr>
        <w:t xml:space="preserve"> </w:t>
      </w:r>
      <w:r w:rsidR="00F80D9B">
        <w:rPr>
          <w:rFonts w:cstheme="minorHAnsi"/>
          <w:sz w:val="24"/>
          <w:szCs w:val="24"/>
        </w:rPr>
        <w:t>Správci daně dosud nezískali inform</w:t>
      </w:r>
      <w:r w:rsidR="009D7A36">
        <w:rPr>
          <w:rFonts w:cstheme="minorHAnsi"/>
          <w:sz w:val="24"/>
          <w:szCs w:val="24"/>
        </w:rPr>
        <w:t>a</w:t>
      </w:r>
      <w:r w:rsidR="00F80D9B">
        <w:rPr>
          <w:rFonts w:cstheme="minorHAnsi"/>
          <w:sz w:val="24"/>
          <w:szCs w:val="24"/>
        </w:rPr>
        <w:t xml:space="preserve">ce, na </w:t>
      </w:r>
      <w:r w:rsidR="007728DC">
        <w:rPr>
          <w:rFonts w:cstheme="minorHAnsi"/>
          <w:sz w:val="24"/>
          <w:szCs w:val="24"/>
        </w:rPr>
        <w:t xml:space="preserve">jejichž </w:t>
      </w:r>
      <w:r w:rsidR="00F80D9B">
        <w:rPr>
          <w:rFonts w:cstheme="minorHAnsi"/>
          <w:sz w:val="24"/>
          <w:szCs w:val="24"/>
        </w:rPr>
        <w:t xml:space="preserve">základě by mohli reagovat na nová daňově optimalizační schémata, a tím snižovat výskyt daňových úniků. </w:t>
      </w:r>
      <w:r w:rsidR="00F80D9B">
        <w:rPr>
          <w:rFonts w:cstheme="minorHAnsi"/>
          <w:color w:val="FF0000"/>
          <w:sz w:val="24"/>
          <w:szCs w:val="24"/>
        </w:rPr>
        <w:t xml:space="preserve"> </w:t>
      </w:r>
    </w:p>
    <w:p w14:paraId="5F1282C0" w14:textId="0EF2E743" w:rsidR="000874AC" w:rsidRDefault="000874AC" w:rsidP="009D7A36">
      <w:pPr>
        <w:spacing w:before="120" w:after="120"/>
        <w:jc w:val="both"/>
        <w:rPr>
          <w:rFonts w:cstheme="minorHAnsi"/>
          <w:sz w:val="24"/>
          <w:szCs w:val="24"/>
        </w:rPr>
      </w:pPr>
      <w:r w:rsidRPr="00511038">
        <w:rPr>
          <w:rFonts w:cstheme="minorHAnsi"/>
          <w:sz w:val="24"/>
          <w:szCs w:val="24"/>
        </w:rPr>
        <w:t xml:space="preserve">NKÚ </w:t>
      </w:r>
      <w:r>
        <w:rPr>
          <w:rFonts w:cstheme="minorHAnsi"/>
          <w:sz w:val="24"/>
          <w:szCs w:val="24"/>
        </w:rPr>
        <w:t xml:space="preserve">dále </w:t>
      </w:r>
      <w:r w:rsidRPr="00511038">
        <w:rPr>
          <w:rFonts w:cstheme="minorHAnsi"/>
          <w:sz w:val="24"/>
          <w:szCs w:val="24"/>
        </w:rPr>
        <w:t>zjistil, že v</w:t>
      </w:r>
      <w:r w:rsidR="00DB0395">
        <w:rPr>
          <w:rFonts w:cstheme="minorHAnsi"/>
          <w:sz w:val="24"/>
          <w:szCs w:val="24"/>
        </w:rPr>
        <w:t xml:space="preserve"> možnosti pracovat s </w:t>
      </w:r>
      <w:r w:rsidRPr="00511038">
        <w:rPr>
          <w:rFonts w:cstheme="minorHAnsi"/>
          <w:sz w:val="24"/>
          <w:szCs w:val="24"/>
        </w:rPr>
        <w:t>informac</w:t>
      </w:r>
      <w:r w:rsidR="00DB0395">
        <w:rPr>
          <w:rFonts w:cstheme="minorHAnsi"/>
          <w:sz w:val="24"/>
          <w:szCs w:val="24"/>
        </w:rPr>
        <w:t>emi</w:t>
      </w:r>
      <w:r w:rsidRPr="00511038">
        <w:rPr>
          <w:rFonts w:cstheme="minorHAnsi"/>
          <w:sz w:val="24"/>
          <w:szCs w:val="24"/>
        </w:rPr>
        <w:t xml:space="preserve"> z</w:t>
      </w:r>
      <w:r>
        <w:rPr>
          <w:rFonts w:cstheme="minorHAnsi"/>
          <w:sz w:val="24"/>
          <w:szCs w:val="24"/>
        </w:rPr>
        <w:t xml:space="preserve"> odchozích </w:t>
      </w:r>
      <w:r w:rsidRPr="00511038">
        <w:rPr>
          <w:rFonts w:cstheme="minorHAnsi"/>
          <w:sz w:val="24"/>
          <w:szCs w:val="24"/>
        </w:rPr>
        <w:t>oznámení DAC6 existovaly rozdíly</w:t>
      </w:r>
      <w:r>
        <w:rPr>
          <w:rFonts w:cstheme="minorHAnsi"/>
          <w:sz w:val="24"/>
          <w:szCs w:val="24"/>
        </w:rPr>
        <w:t>. SFÚ mohlo využívat informace z odchozích oznámení DAC6 pro provádění rizikových analýz. SFÚ zaevidovalo v období od 28. 2. 2021 do 31.12. 2023 odchozí oznámení DAC6 u</w:t>
      </w:r>
      <w:r w:rsidR="007728DC">
        <w:rPr>
          <w:rFonts w:cstheme="minorHAnsi"/>
          <w:sz w:val="24"/>
          <w:szCs w:val="24"/>
        </w:rPr>
        <w:t> </w:t>
      </w:r>
      <w:r>
        <w:rPr>
          <w:rFonts w:cstheme="minorHAnsi"/>
          <w:sz w:val="24"/>
          <w:szCs w:val="24"/>
        </w:rPr>
        <w:t>56</w:t>
      </w:r>
      <w:r w:rsidR="007728DC">
        <w:rPr>
          <w:rFonts w:cstheme="minorHAnsi"/>
          <w:sz w:val="24"/>
          <w:szCs w:val="24"/>
        </w:rPr>
        <w:t> </w:t>
      </w:r>
      <w:r>
        <w:rPr>
          <w:rFonts w:cstheme="minorHAnsi"/>
          <w:sz w:val="24"/>
          <w:szCs w:val="24"/>
        </w:rPr>
        <w:t>daňových subjektů místně příslušných SFÚ a za stejné ob</w:t>
      </w:r>
      <w:r w:rsidR="00CE3811">
        <w:rPr>
          <w:rFonts w:cstheme="minorHAnsi"/>
          <w:sz w:val="24"/>
          <w:szCs w:val="24"/>
        </w:rPr>
        <w:t>do</w:t>
      </w:r>
      <w:r>
        <w:rPr>
          <w:rFonts w:cstheme="minorHAnsi"/>
          <w:sz w:val="24"/>
          <w:szCs w:val="24"/>
        </w:rPr>
        <w:t xml:space="preserve">bí zpracovalo 22 rizikových analýz, ve kterých použilo informace z těchto oznámení. Ostatní FÚ možnost provádění rizikových analýz na základě odchozích oznámení DAC6 neměly, protože dostávaly informace pouze v případě pochybností o přeshraničním uspořádání detekovaných GFŘ. </w:t>
      </w:r>
    </w:p>
    <w:p w14:paraId="5139184F" w14:textId="326EFBBD" w:rsidR="00CA53EC" w:rsidRDefault="00CA53EC" w:rsidP="00CA53EC">
      <w:pPr>
        <w:jc w:val="both"/>
        <w:rPr>
          <w:rFonts w:ascii="Calibri" w:eastAsia="Calibri" w:hAnsi="Calibri" w:cs="Calibri"/>
          <w:sz w:val="24"/>
          <w:szCs w:val="24"/>
        </w:rPr>
      </w:pPr>
      <w:r w:rsidRPr="005F161A">
        <w:rPr>
          <w:rFonts w:ascii="Calibri" w:eastAsia="Calibri" w:hAnsi="Calibri" w:cs="Calibri"/>
          <w:sz w:val="24"/>
          <w:szCs w:val="24"/>
        </w:rPr>
        <w:t>GFŘ n</w:t>
      </w:r>
      <w:r w:rsidRPr="006653FD">
        <w:rPr>
          <w:rFonts w:ascii="Calibri" w:eastAsia="Calibri" w:hAnsi="Calibri" w:cs="Calibri"/>
          <w:sz w:val="24"/>
          <w:szCs w:val="24"/>
        </w:rPr>
        <w:t xml:space="preserve">enastavilo postup pro předávání informací z oznámení DAC6 místně příslušným </w:t>
      </w:r>
      <w:r>
        <w:rPr>
          <w:rFonts w:ascii="Calibri" w:eastAsia="Calibri" w:hAnsi="Calibri" w:cs="Calibri"/>
          <w:sz w:val="24"/>
          <w:szCs w:val="24"/>
        </w:rPr>
        <w:t>FÚ</w:t>
      </w:r>
      <w:r w:rsidRPr="006653FD">
        <w:rPr>
          <w:rFonts w:ascii="Calibri" w:eastAsia="Calibri" w:hAnsi="Calibri" w:cs="Calibri"/>
          <w:sz w:val="24"/>
          <w:szCs w:val="24"/>
        </w:rPr>
        <w:t xml:space="preserve"> takovým způsobem, aby správci daně měli k dispozici veškeré informace, např. pro využití při provádění vyhledávací činnosti, rizikových analýzách a následně v kontrolních postupech. </w:t>
      </w:r>
    </w:p>
    <w:p w14:paraId="0ABB61B2" w14:textId="6B8CC958" w:rsidR="002608BB" w:rsidRPr="001A21D5" w:rsidRDefault="00B855C2" w:rsidP="00CF55EC">
      <w:pPr>
        <w:keepNext/>
        <w:spacing w:before="240" w:after="120"/>
        <w:jc w:val="both"/>
        <w:rPr>
          <w:rFonts w:ascii="Calibri" w:hAnsi="Calibri" w:cs="Calibri"/>
          <w:b/>
          <w:bCs/>
          <w:sz w:val="24"/>
          <w:szCs w:val="24"/>
        </w:rPr>
      </w:pPr>
      <w:r>
        <w:rPr>
          <w:rFonts w:ascii="Calibri" w:hAnsi="Calibri" w:cs="Calibri"/>
          <w:b/>
          <w:bCs/>
          <w:color w:val="000000" w:themeColor="text1"/>
          <w:sz w:val="24"/>
          <w:szCs w:val="24"/>
        </w:rPr>
        <w:t>3</w:t>
      </w:r>
      <w:r w:rsidR="004C769B">
        <w:rPr>
          <w:rFonts w:ascii="Calibri" w:hAnsi="Calibri" w:cs="Calibri"/>
          <w:b/>
          <w:bCs/>
          <w:color w:val="000000" w:themeColor="text1"/>
          <w:sz w:val="24"/>
          <w:szCs w:val="24"/>
        </w:rPr>
        <w:t>.</w:t>
      </w:r>
      <w:r w:rsidR="007770CD" w:rsidRPr="001A21D5">
        <w:rPr>
          <w:rFonts w:ascii="Calibri" w:hAnsi="Calibri" w:cs="Calibri"/>
          <w:b/>
          <w:bCs/>
          <w:color w:val="000000" w:themeColor="text1"/>
          <w:sz w:val="24"/>
          <w:szCs w:val="24"/>
        </w:rPr>
        <w:t xml:space="preserve"> </w:t>
      </w:r>
      <w:r w:rsidR="00883C92">
        <w:rPr>
          <w:rFonts w:ascii="Calibri" w:hAnsi="Calibri" w:cs="Calibri"/>
          <w:b/>
          <w:bCs/>
          <w:color w:val="000000" w:themeColor="text1"/>
          <w:sz w:val="24"/>
          <w:szCs w:val="24"/>
        </w:rPr>
        <w:t>Implementace</w:t>
      </w:r>
      <w:r w:rsidR="00DB3004" w:rsidRPr="001A21D5">
        <w:rPr>
          <w:rFonts w:ascii="Calibri" w:hAnsi="Calibri" w:cs="Calibri"/>
          <w:b/>
          <w:bCs/>
          <w:color w:val="000000" w:themeColor="text1"/>
          <w:sz w:val="24"/>
          <w:szCs w:val="24"/>
        </w:rPr>
        <w:t xml:space="preserve"> směrnic ATAD </w:t>
      </w:r>
      <w:r w:rsidR="009D0A0B" w:rsidRPr="001A21D5">
        <w:rPr>
          <w:rFonts w:ascii="Calibri" w:hAnsi="Calibri" w:cs="Calibri"/>
          <w:b/>
          <w:bCs/>
          <w:color w:val="000000" w:themeColor="text1"/>
          <w:sz w:val="24"/>
          <w:szCs w:val="24"/>
        </w:rPr>
        <w:t xml:space="preserve">a DAC6 </w:t>
      </w:r>
      <w:r w:rsidR="002D58C6">
        <w:rPr>
          <w:rFonts w:ascii="Calibri" w:hAnsi="Calibri" w:cs="Calibri"/>
          <w:b/>
          <w:bCs/>
          <w:color w:val="000000" w:themeColor="text1"/>
          <w:sz w:val="24"/>
          <w:szCs w:val="24"/>
        </w:rPr>
        <w:t xml:space="preserve">neměly </w:t>
      </w:r>
      <w:r w:rsidR="002D62E3">
        <w:rPr>
          <w:rFonts w:ascii="Calibri" w:hAnsi="Calibri" w:cs="Calibri"/>
          <w:b/>
          <w:bCs/>
          <w:color w:val="000000" w:themeColor="text1"/>
          <w:sz w:val="24"/>
          <w:szCs w:val="24"/>
        </w:rPr>
        <w:t>významný</w:t>
      </w:r>
      <w:r w:rsidR="00D343F3">
        <w:rPr>
          <w:rFonts w:ascii="Calibri" w:hAnsi="Calibri" w:cs="Calibri"/>
          <w:b/>
          <w:bCs/>
          <w:color w:val="000000" w:themeColor="text1"/>
          <w:sz w:val="24"/>
          <w:szCs w:val="24"/>
        </w:rPr>
        <w:t xml:space="preserve"> </w:t>
      </w:r>
      <w:r w:rsidR="002D58C6">
        <w:rPr>
          <w:rFonts w:ascii="Calibri" w:hAnsi="Calibri" w:cs="Calibri"/>
          <w:b/>
          <w:bCs/>
          <w:color w:val="000000" w:themeColor="text1"/>
          <w:sz w:val="24"/>
          <w:szCs w:val="24"/>
        </w:rPr>
        <w:t xml:space="preserve">vliv na </w:t>
      </w:r>
      <w:r w:rsidR="002D62E3">
        <w:rPr>
          <w:rFonts w:ascii="Calibri" w:hAnsi="Calibri" w:cs="Calibri"/>
          <w:b/>
          <w:bCs/>
          <w:color w:val="000000" w:themeColor="text1"/>
          <w:sz w:val="24"/>
          <w:szCs w:val="24"/>
        </w:rPr>
        <w:t>efektivnost</w:t>
      </w:r>
      <w:r w:rsidR="00066447" w:rsidRPr="001A21D5">
        <w:rPr>
          <w:rFonts w:ascii="Calibri" w:hAnsi="Calibri" w:cs="Calibri"/>
          <w:b/>
          <w:bCs/>
          <w:color w:val="000000" w:themeColor="text1"/>
          <w:sz w:val="24"/>
          <w:szCs w:val="24"/>
        </w:rPr>
        <w:t xml:space="preserve"> správy </w:t>
      </w:r>
      <w:r w:rsidR="00883C92">
        <w:rPr>
          <w:rFonts w:ascii="Calibri" w:hAnsi="Calibri" w:cs="Calibri"/>
          <w:b/>
          <w:bCs/>
          <w:color w:val="000000" w:themeColor="text1"/>
          <w:sz w:val="24"/>
          <w:szCs w:val="24"/>
        </w:rPr>
        <w:t>DPPO</w:t>
      </w:r>
      <w:r w:rsidR="00066447" w:rsidRPr="001A21D5">
        <w:rPr>
          <w:rFonts w:ascii="Calibri" w:hAnsi="Calibri" w:cs="Calibri"/>
          <w:b/>
          <w:bCs/>
          <w:color w:val="000000" w:themeColor="text1"/>
          <w:sz w:val="24"/>
          <w:szCs w:val="24"/>
        </w:rPr>
        <w:t xml:space="preserve"> </w:t>
      </w:r>
    </w:p>
    <w:p w14:paraId="75676836" w14:textId="77777777" w:rsidR="00D74950" w:rsidRDefault="00D74950" w:rsidP="00B66659">
      <w:pPr>
        <w:spacing w:before="120" w:after="120"/>
        <w:jc w:val="both"/>
        <w:rPr>
          <w:rFonts w:ascii="Calibri" w:hAnsi="Calibri" w:cs="Calibri"/>
          <w:color w:val="000000" w:themeColor="text1"/>
          <w:sz w:val="24"/>
          <w:szCs w:val="24"/>
        </w:rPr>
      </w:pPr>
      <w:r>
        <w:rPr>
          <w:rFonts w:ascii="Calibri" w:hAnsi="Calibri" w:cs="Calibri"/>
          <w:color w:val="000000" w:themeColor="text1"/>
          <w:sz w:val="24"/>
          <w:szCs w:val="24"/>
        </w:rPr>
        <w:t>V souvislosti s implementací směrnic</w:t>
      </w:r>
      <w:r w:rsidR="00524EC1">
        <w:rPr>
          <w:rFonts w:ascii="Calibri" w:hAnsi="Calibri" w:cs="Calibri"/>
          <w:color w:val="000000" w:themeColor="text1"/>
          <w:sz w:val="24"/>
          <w:szCs w:val="24"/>
        </w:rPr>
        <w:t>e</w:t>
      </w:r>
      <w:r>
        <w:rPr>
          <w:rFonts w:ascii="Calibri" w:hAnsi="Calibri" w:cs="Calibri"/>
          <w:color w:val="000000" w:themeColor="text1"/>
          <w:sz w:val="24"/>
          <w:szCs w:val="24"/>
        </w:rPr>
        <w:t xml:space="preserve"> ATAD do zákona </w:t>
      </w:r>
      <w:r w:rsidR="004B1164">
        <w:rPr>
          <w:rFonts w:ascii="Calibri" w:hAnsi="Calibri" w:cs="Calibri"/>
          <w:color w:val="000000" w:themeColor="text1"/>
          <w:sz w:val="24"/>
          <w:szCs w:val="24"/>
        </w:rPr>
        <w:t>o daních z příjmů</w:t>
      </w:r>
      <w:r>
        <w:rPr>
          <w:rFonts w:ascii="Calibri" w:hAnsi="Calibri" w:cs="Calibri"/>
          <w:color w:val="000000" w:themeColor="text1"/>
          <w:sz w:val="24"/>
          <w:szCs w:val="24"/>
        </w:rPr>
        <w:t xml:space="preserve"> byly do tiskopisu </w:t>
      </w:r>
      <w:r w:rsidR="007675B4">
        <w:rPr>
          <w:rFonts w:ascii="Calibri" w:hAnsi="Calibri" w:cs="Calibri"/>
          <w:color w:val="000000" w:themeColor="text1"/>
          <w:sz w:val="24"/>
          <w:szCs w:val="24"/>
        </w:rPr>
        <w:t>daňového přiznání</w:t>
      </w:r>
      <w:r>
        <w:rPr>
          <w:rFonts w:ascii="Calibri" w:hAnsi="Calibri" w:cs="Calibri"/>
          <w:color w:val="000000" w:themeColor="text1"/>
          <w:sz w:val="24"/>
          <w:szCs w:val="24"/>
        </w:rPr>
        <w:t xml:space="preserve"> k</w:t>
      </w:r>
      <w:r w:rsidR="00971308">
        <w:rPr>
          <w:rFonts w:ascii="Calibri" w:hAnsi="Calibri" w:cs="Calibri"/>
          <w:color w:val="000000" w:themeColor="text1"/>
          <w:sz w:val="24"/>
          <w:szCs w:val="24"/>
        </w:rPr>
        <w:t> </w:t>
      </w:r>
      <w:r>
        <w:rPr>
          <w:rFonts w:ascii="Calibri" w:hAnsi="Calibri" w:cs="Calibri"/>
          <w:color w:val="000000" w:themeColor="text1"/>
          <w:sz w:val="24"/>
          <w:szCs w:val="24"/>
        </w:rPr>
        <w:t>DPPO</w:t>
      </w:r>
      <w:r w:rsidR="00971308">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doplněny nové </w:t>
      </w:r>
      <w:r w:rsidR="00971308">
        <w:rPr>
          <w:rFonts w:ascii="Calibri" w:hAnsi="Calibri" w:cs="Calibri"/>
          <w:color w:val="000000" w:themeColor="text1"/>
          <w:sz w:val="24"/>
          <w:szCs w:val="24"/>
        </w:rPr>
        <w:t xml:space="preserve">přílohy </w:t>
      </w:r>
      <w:r>
        <w:rPr>
          <w:rFonts w:ascii="Calibri" w:hAnsi="Calibri" w:cs="Calibri"/>
          <w:color w:val="000000" w:themeColor="text1"/>
          <w:sz w:val="24"/>
          <w:szCs w:val="24"/>
        </w:rPr>
        <w:t xml:space="preserve">a </w:t>
      </w:r>
      <w:r w:rsidR="00971308">
        <w:rPr>
          <w:rFonts w:ascii="Calibri" w:hAnsi="Calibri" w:cs="Calibri"/>
          <w:color w:val="000000" w:themeColor="text1"/>
          <w:sz w:val="24"/>
          <w:szCs w:val="24"/>
        </w:rPr>
        <w:t>řádky</w:t>
      </w:r>
      <w:r>
        <w:rPr>
          <w:rFonts w:ascii="Calibri" w:hAnsi="Calibri" w:cs="Calibri"/>
          <w:color w:val="000000" w:themeColor="text1"/>
          <w:sz w:val="24"/>
          <w:szCs w:val="24"/>
        </w:rPr>
        <w:t>, které slouží k souhrnnému zachycení zvýšení nebo snížení výsledku hospodaření</w:t>
      </w:r>
      <w:r w:rsidR="00971308">
        <w:rPr>
          <w:rFonts w:ascii="Calibri" w:hAnsi="Calibri" w:cs="Calibri"/>
          <w:color w:val="000000" w:themeColor="text1"/>
          <w:sz w:val="24"/>
          <w:szCs w:val="24"/>
        </w:rPr>
        <w:t xml:space="preserve"> nebo</w:t>
      </w:r>
      <w:r>
        <w:rPr>
          <w:rFonts w:ascii="Calibri" w:hAnsi="Calibri" w:cs="Calibri"/>
          <w:color w:val="000000" w:themeColor="text1"/>
          <w:sz w:val="24"/>
          <w:szCs w:val="24"/>
        </w:rPr>
        <w:t xml:space="preserve"> rozdílu mezi příjmy a výdaji</w:t>
      </w:r>
      <w:r w:rsidR="00971308">
        <w:rPr>
          <w:rFonts w:ascii="Calibri" w:hAnsi="Calibri" w:cs="Calibri"/>
          <w:color w:val="000000" w:themeColor="text1"/>
          <w:sz w:val="24"/>
          <w:szCs w:val="24"/>
        </w:rPr>
        <w:t xml:space="preserve"> </w:t>
      </w:r>
      <w:r w:rsidR="00971308" w:rsidRPr="001A21D5">
        <w:rPr>
          <w:rFonts w:eastAsia="Calibri" w:cstheme="minorHAnsi"/>
          <w:sz w:val="24"/>
          <w:szCs w:val="24"/>
        </w:rPr>
        <w:t>z titulu nových pravidel zavedených směrnic</w:t>
      </w:r>
      <w:r w:rsidR="00524EC1">
        <w:rPr>
          <w:rFonts w:eastAsia="Calibri" w:cstheme="minorHAnsi"/>
          <w:sz w:val="24"/>
          <w:szCs w:val="24"/>
        </w:rPr>
        <w:t>í</w:t>
      </w:r>
      <w:r w:rsidR="00971308" w:rsidRPr="001A21D5">
        <w:rPr>
          <w:rFonts w:eastAsia="Calibri" w:cstheme="minorHAnsi"/>
          <w:sz w:val="24"/>
          <w:szCs w:val="24"/>
        </w:rPr>
        <w:t xml:space="preserve"> ATAD</w:t>
      </w:r>
      <w:r w:rsidRPr="00971308">
        <w:rPr>
          <w:rFonts w:ascii="Calibri" w:hAnsi="Calibri" w:cs="Calibri"/>
          <w:color w:val="000000" w:themeColor="text1"/>
          <w:sz w:val="24"/>
          <w:szCs w:val="24"/>
        </w:rPr>
        <w:t>.</w:t>
      </w:r>
    </w:p>
    <w:p w14:paraId="1B15CA3E" w14:textId="0B5EEB2F" w:rsidR="006A1F43" w:rsidRPr="001A21D5" w:rsidRDefault="007A7E36" w:rsidP="00777F26">
      <w:pPr>
        <w:keepNext/>
        <w:spacing w:before="120" w:after="40"/>
        <w:jc w:val="both"/>
        <w:rPr>
          <w:rFonts w:ascii="Calibri" w:hAnsi="Calibri" w:cs="Calibri"/>
          <w:b/>
          <w:color w:val="000000" w:themeColor="text1"/>
          <w:sz w:val="24"/>
          <w:szCs w:val="24"/>
        </w:rPr>
      </w:pPr>
      <w:r w:rsidRPr="001A21D5">
        <w:rPr>
          <w:rFonts w:ascii="Calibri" w:hAnsi="Calibri" w:cs="Calibri"/>
          <w:b/>
          <w:color w:val="000000" w:themeColor="text1"/>
          <w:sz w:val="24"/>
          <w:szCs w:val="24"/>
        </w:rPr>
        <w:t xml:space="preserve">Tabulka č. </w:t>
      </w:r>
      <w:r w:rsidR="000672D2">
        <w:rPr>
          <w:rFonts w:ascii="Calibri" w:hAnsi="Calibri" w:cs="Calibri"/>
          <w:b/>
          <w:color w:val="000000" w:themeColor="text1"/>
          <w:sz w:val="24"/>
          <w:szCs w:val="24"/>
        </w:rPr>
        <w:t>2</w:t>
      </w:r>
      <w:r w:rsidR="007728DC">
        <w:rPr>
          <w:rFonts w:ascii="Calibri" w:hAnsi="Calibri" w:cs="Calibri"/>
          <w:b/>
          <w:color w:val="000000" w:themeColor="text1"/>
          <w:sz w:val="24"/>
          <w:szCs w:val="24"/>
        </w:rPr>
        <w:t>:</w:t>
      </w:r>
      <w:r w:rsidRPr="001A21D5">
        <w:rPr>
          <w:rFonts w:ascii="Calibri" w:hAnsi="Calibri" w:cs="Calibri"/>
          <w:b/>
          <w:color w:val="000000" w:themeColor="text1"/>
          <w:sz w:val="24"/>
          <w:szCs w:val="24"/>
        </w:rPr>
        <w:t xml:space="preserve"> Počet </w:t>
      </w:r>
      <w:r w:rsidR="000672D2">
        <w:rPr>
          <w:rFonts w:ascii="Calibri" w:hAnsi="Calibri" w:cs="Calibri"/>
          <w:b/>
          <w:color w:val="000000" w:themeColor="text1"/>
          <w:sz w:val="24"/>
          <w:szCs w:val="24"/>
        </w:rPr>
        <w:t>DAP</w:t>
      </w:r>
      <w:r w:rsidRPr="001A21D5">
        <w:rPr>
          <w:rFonts w:ascii="Calibri" w:hAnsi="Calibri" w:cs="Calibri"/>
          <w:b/>
          <w:color w:val="000000" w:themeColor="text1"/>
          <w:sz w:val="24"/>
          <w:szCs w:val="24"/>
        </w:rPr>
        <w:t xml:space="preserve"> obsahujících údaje související se směrnicemi ATAD</w:t>
      </w:r>
    </w:p>
    <w:tbl>
      <w:tblPr>
        <w:tblStyle w:val="Mkatabulky"/>
        <w:tblW w:w="9014" w:type="dxa"/>
        <w:tblLook w:val="04A0" w:firstRow="1" w:lastRow="0" w:firstColumn="1" w:lastColumn="0" w:noHBand="0" w:noVBand="1"/>
      </w:tblPr>
      <w:tblGrid>
        <w:gridCol w:w="5386"/>
        <w:gridCol w:w="907"/>
        <w:gridCol w:w="907"/>
        <w:gridCol w:w="907"/>
        <w:gridCol w:w="907"/>
      </w:tblGrid>
      <w:tr w:rsidR="004351C4" w:rsidRPr="007A7E36" w14:paraId="07F89A2E" w14:textId="77777777" w:rsidTr="00777F26">
        <w:trPr>
          <w:trHeight w:val="255"/>
        </w:trPr>
        <w:tc>
          <w:tcPr>
            <w:tcW w:w="5386" w:type="dxa"/>
            <w:shd w:val="clear" w:color="auto" w:fill="E2F1EE"/>
            <w:vAlign w:val="center"/>
          </w:tcPr>
          <w:p w14:paraId="2DFC7248" w14:textId="77777777" w:rsidR="004351C4" w:rsidRPr="001A21D5" w:rsidRDefault="004351C4" w:rsidP="00777F26">
            <w:pPr>
              <w:rPr>
                <w:rFonts w:ascii="Calibri" w:hAnsi="Calibri" w:cs="Calibri"/>
                <w:b/>
                <w:color w:val="000000" w:themeColor="text1"/>
                <w:sz w:val="20"/>
                <w:szCs w:val="20"/>
              </w:rPr>
            </w:pPr>
            <w:r w:rsidRPr="001A21D5">
              <w:rPr>
                <w:rFonts w:ascii="Calibri" w:hAnsi="Calibri" w:cs="Calibri"/>
                <w:b/>
                <w:color w:val="000000" w:themeColor="text1"/>
                <w:sz w:val="20"/>
                <w:szCs w:val="20"/>
              </w:rPr>
              <w:t>Rok</w:t>
            </w:r>
          </w:p>
        </w:tc>
        <w:tc>
          <w:tcPr>
            <w:tcW w:w="907" w:type="dxa"/>
            <w:shd w:val="clear" w:color="auto" w:fill="E2F1EE"/>
            <w:vAlign w:val="center"/>
          </w:tcPr>
          <w:p w14:paraId="48B9121E" w14:textId="77777777" w:rsidR="004351C4" w:rsidRPr="001A21D5" w:rsidRDefault="004351C4" w:rsidP="001A21D5">
            <w:pPr>
              <w:jc w:val="center"/>
              <w:rPr>
                <w:rFonts w:ascii="Calibri" w:hAnsi="Calibri" w:cs="Calibri"/>
                <w:b/>
                <w:color w:val="000000" w:themeColor="text1"/>
                <w:sz w:val="20"/>
                <w:szCs w:val="20"/>
              </w:rPr>
            </w:pPr>
            <w:r w:rsidRPr="001A21D5">
              <w:rPr>
                <w:rFonts w:ascii="Calibri" w:hAnsi="Calibri" w:cs="Calibri"/>
                <w:b/>
                <w:color w:val="000000" w:themeColor="text1"/>
                <w:sz w:val="20"/>
                <w:szCs w:val="20"/>
              </w:rPr>
              <w:t>2020</w:t>
            </w:r>
          </w:p>
        </w:tc>
        <w:tc>
          <w:tcPr>
            <w:tcW w:w="907" w:type="dxa"/>
            <w:shd w:val="clear" w:color="auto" w:fill="E2F1EE"/>
            <w:vAlign w:val="center"/>
          </w:tcPr>
          <w:p w14:paraId="7EF8DA31" w14:textId="77777777" w:rsidR="004351C4" w:rsidRPr="001A21D5" w:rsidRDefault="004351C4" w:rsidP="001A21D5">
            <w:pPr>
              <w:jc w:val="center"/>
              <w:rPr>
                <w:rFonts w:ascii="Calibri" w:hAnsi="Calibri" w:cs="Calibri"/>
                <w:b/>
                <w:color w:val="000000" w:themeColor="text1"/>
                <w:sz w:val="20"/>
                <w:szCs w:val="20"/>
              </w:rPr>
            </w:pPr>
            <w:r w:rsidRPr="001A21D5">
              <w:rPr>
                <w:rFonts w:ascii="Calibri" w:hAnsi="Calibri" w:cs="Calibri"/>
                <w:b/>
                <w:color w:val="000000" w:themeColor="text1"/>
                <w:sz w:val="20"/>
                <w:szCs w:val="20"/>
              </w:rPr>
              <w:t>2021</w:t>
            </w:r>
          </w:p>
        </w:tc>
        <w:tc>
          <w:tcPr>
            <w:tcW w:w="907" w:type="dxa"/>
            <w:shd w:val="clear" w:color="auto" w:fill="E2F1EE"/>
            <w:vAlign w:val="center"/>
          </w:tcPr>
          <w:p w14:paraId="2BD78D14" w14:textId="77777777" w:rsidR="004351C4" w:rsidRPr="001A21D5" w:rsidRDefault="004351C4" w:rsidP="001A21D5">
            <w:pPr>
              <w:jc w:val="center"/>
              <w:rPr>
                <w:rFonts w:ascii="Calibri" w:hAnsi="Calibri" w:cs="Calibri"/>
                <w:b/>
                <w:color w:val="000000" w:themeColor="text1"/>
                <w:sz w:val="20"/>
                <w:szCs w:val="20"/>
              </w:rPr>
            </w:pPr>
            <w:r w:rsidRPr="001A21D5">
              <w:rPr>
                <w:rFonts w:ascii="Calibri" w:hAnsi="Calibri" w:cs="Calibri"/>
                <w:b/>
                <w:color w:val="000000" w:themeColor="text1"/>
                <w:sz w:val="20"/>
                <w:szCs w:val="20"/>
              </w:rPr>
              <w:t>2022</w:t>
            </w:r>
          </w:p>
        </w:tc>
        <w:tc>
          <w:tcPr>
            <w:tcW w:w="907" w:type="dxa"/>
            <w:shd w:val="clear" w:color="auto" w:fill="E2F1EE"/>
          </w:tcPr>
          <w:p w14:paraId="074BF4BD" w14:textId="77777777" w:rsidR="004351C4" w:rsidRPr="00D7071E" w:rsidRDefault="004351C4" w:rsidP="007A7E36">
            <w:pPr>
              <w:jc w:val="center"/>
              <w:rPr>
                <w:rFonts w:ascii="Calibri" w:hAnsi="Calibri" w:cs="Calibri"/>
                <w:b/>
                <w:color w:val="000000" w:themeColor="text1"/>
                <w:sz w:val="20"/>
                <w:szCs w:val="20"/>
              </w:rPr>
            </w:pPr>
            <w:r>
              <w:rPr>
                <w:rFonts w:ascii="Calibri" w:hAnsi="Calibri" w:cs="Calibri"/>
                <w:b/>
                <w:color w:val="000000" w:themeColor="text1"/>
                <w:sz w:val="20"/>
                <w:szCs w:val="20"/>
              </w:rPr>
              <w:t>2023</w:t>
            </w:r>
          </w:p>
        </w:tc>
      </w:tr>
      <w:tr w:rsidR="004351C4" w:rsidRPr="00084C30" w14:paraId="5D4334C3" w14:textId="77777777" w:rsidTr="00777F26">
        <w:trPr>
          <w:trHeight w:val="255"/>
        </w:trPr>
        <w:tc>
          <w:tcPr>
            <w:tcW w:w="5386" w:type="dxa"/>
            <w:shd w:val="clear" w:color="auto" w:fill="auto"/>
            <w:vAlign w:val="center"/>
          </w:tcPr>
          <w:p w14:paraId="673F8DEE" w14:textId="77777777" w:rsidR="004351C4" w:rsidRPr="001A21D5" w:rsidRDefault="004351C4" w:rsidP="00777F26">
            <w:pPr>
              <w:rPr>
                <w:rFonts w:ascii="Calibri" w:hAnsi="Calibri" w:cs="Calibri"/>
                <w:color w:val="000000" w:themeColor="text1"/>
                <w:sz w:val="20"/>
                <w:szCs w:val="20"/>
              </w:rPr>
            </w:pPr>
            <w:r w:rsidRPr="001A21D5">
              <w:rPr>
                <w:rFonts w:ascii="Calibri" w:hAnsi="Calibri" w:cs="Calibri"/>
                <w:color w:val="000000" w:themeColor="text1"/>
                <w:sz w:val="20"/>
                <w:szCs w:val="20"/>
              </w:rPr>
              <w:t xml:space="preserve">Počet podaných </w:t>
            </w:r>
            <w:r w:rsidRPr="00D32EC7">
              <w:rPr>
                <w:rFonts w:ascii="Calibri" w:hAnsi="Calibri" w:cs="Calibri"/>
                <w:color w:val="000000" w:themeColor="text1"/>
                <w:sz w:val="20"/>
                <w:szCs w:val="20"/>
              </w:rPr>
              <w:t>DAP</w:t>
            </w:r>
          </w:p>
        </w:tc>
        <w:tc>
          <w:tcPr>
            <w:tcW w:w="907" w:type="dxa"/>
            <w:shd w:val="clear" w:color="auto" w:fill="auto"/>
          </w:tcPr>
          <w:p w14:paraId="0C34DEA6" w14:textId="77777777" w:rsidR="004351C4" w:rsidRPr="001A21D5" w:rsidRDefault="004351C4" w:rsidP="001A21D5">
            <w:pPr>
              <w:jc w:val="right"/>
              <w:rPr>
                <w:rFonts w:ascii="Calibri" w:hAnsi="Calibri" w:cs="Calibri"/>
                <w:color w:val="000000" w:themeColor="text1"/>
                <w:sz w:val="20"/>
                <w:szCs w:val="20"/>
              </w:rPr>
            </w:pPr>
            <w:r w:rsidRPr="001A21D5">
              <w:rPr>
                <w:sz w:val="20"/>
                <w:szCs w:val="20"/>
              </w:rPr>
              <w:t>540 373</w:t>
            </w:r>
          </w:p>
        </w:tc>
        <w:tc>
          <w:tcPr>
            <w:tcW w:w="907" w:type="dxa"/>
            <w:shd w:val="clear" w:color="auto" w:fill="auto"/>
          </w:tcPr>
          <w:p w14:paraId="634E2B18" w14:textId="77777777" w:rsidR="004351C4" w:rsidRPr="001A21D5" w:rsidRDefault="004351C4" w:rsidP="001A21D5">
            <w:pPr>
              <w:jc w:val="right"/>
              <w:rPr>
                <w:rFonts w:ascii="Calibri" w:hAnsi="Calibri" w:cs="Calibri"/>
                <w:color w:val="000000" w:themeColor="text1"/>
                <w:sz w:val="20"/>
                <w:szCs w:val="20"/>
              </w:rPr>
            </w:pPr>
            <w:r w:rsidRPr="001A21D5">
              <w:rPr>
                <w:sz w:val="20"/>
                <w:szCs w:val="20"/>
              </w:rPr>
              <w:t>555 455</w:t>
            </w:r>
          </w:p>
        </w:tc>
        <w:tc>
          <w:tcPr>
            <w:tcW w:w="907" w:type="dxa"/>
            <w:shd w:val="clear" w:color="auto" w:fill="auto"/>
          </w:tcPr>
          <w:p w14:paraId="48D818AD" w14:textId="77777777" w:rsidR="004351C4" w:rsidRPr="001A21D5" w:rsidRDefault="004351C4" w:rsidP="001A21D5">
            <w:pPr>
              <w:jc w:val="right"/>
              <w:rPr>
                <w:rFonts w:ascii="Calibri" w:hAnsi="Calibri" w:cs="Calibri"/>
                <w:color w:val="000000" w:themeColor="text1"/>
                <w:sz w:val="20"/>
                <w:szCs w:val="20"/>
              </w:rPr>
            </w:pPr>
            <w:r w:rsidRPr="001A21D5">
              <w:rPr>
                <w:sz w:val="20"/>
                <w:szCs w:val="20"/>
              </w:rPr>
              <w:t>568 419</w:t>
            </w:r>
          </w:p>
        </w:tc>
        <w:tc>
          <w:tcPr>
            <w:tcW w:w="907" w:type="dxa"/>
            <w:vAlign w:val="center"/>
          </w:tcPr>
          <w:p w14:paraId="25378056" w14:textId="77777777" w:rsidR="004351C4" w:rsidRPr="00D7071E" w:rsidRDefault="004351C4" w:rsidP="00914293">
            <w:pPr>
              <w:jc w:val="right"/>
              <w:rPr>
                <w:sz w:val="20"/>
                <w:szCs w:val="20"/>
              </w:rPr>
            </w:pPr>
            <w:r w:rsidRPr="004351C4">
              <w:rPr>
                <w:sz w:val="20"/>
                <w:szCs w:val="20"/>
              </w:rPr>
              <w:t>594 115</w:t>
            </w:r>
          </w:p>
        </w:tc>
      </w:tr>
      <w:tr w:rsidR="004351C4" w:rsidRPr="007A7E36" w14:paraId="09875E90" w14:textId="77777777" w:rsidTr="00777F26">
        <w:trPr>
          <w:trHeight w:val="255"/>
        </w:trPr>
        <w:tc>
          <w:tcPr>
            <w:tcW w:w="5386" w:type="dxa"/>
            <w:vAlign w:val="center"/>
          </w:tcPr>
          <w:p w14:paraId="764C0EA7" w14:textId="77777777" w:rsidR="004351C4" w:rsidRPr="001A21D5" w:rsidRDefault="004351C4" w:rsidP="00777F26">
            <w:pPr>
              <w:rPr>
                <w:rFonts w:ascii="Calibri" w:hAnsi="Calibri" w:cs="Calibri"/>
                <w:color w:val="000000" w:themeColor="text1"/>
                <w:sz w:val="20"/>
                <w:szCs w:val="20"/>
              </w:rPr>
            </w:pPr>
            <w:r w:rsidRPr="00EE1F33">
              <w:rPr>
                <w:rFonts w:ascii="Calibri" w:hAnsi="Calibri" w:cs="Calibri"/>
                <w:color w:val="000000" w:themeColor="text1"/>
                <w:sz w:val="20"/>
                <w:szCs w:val="20"/>
              </w:rPr>
              <w:t xml:space="preserve">Počet DAP obsahujících údaje na řádku 63, 163, 319 nebo </w:t>
            </w:r>
            <w:proofErr w:type="gramStart"/>
            <w:r w:rsidRPr="00EE1F33">
              <w:rPr>
                <w:rFonts w:ascii="Calibri" w:hAnsi="Calibri" w:cs="Calibri"/>
                <w:color w:val="000000" w:themeColor="text1"/>
                <w:sz w:val="20"/>
                <w:szCs w:val="20"/>
              </w:rPr>
              <w:t>319a</w:t>
            </w:r>
            <w:proofErr w:type="gramEnd"/>
          </w:p>
        </w:tc>
        <w:tc>
          <w:tcPr>
            <w:tcW w:w="907" w:type="dxa"/>
            <w:vAlign w:val="center"/>
          </w:tcPr>
          <w:p w14:paraId="5EDB197F" w14:textId="77777777" w:rsidR="004351C4" w:rsidRPr="001A21D5" w:rsidRDefault="004351C4" w:rsidP="001A21D5">
            <w:pPr>
              <w:jc w:val="right"/>
              <w:rPr>
                <w:rFonts w:ascii="Calibri" w:hAnsi="Calibri" w:cs="Calibri"/>
                <w:color w:val="000000" w:themeColor="text1"/>
                <w:sz w:val="20"/>
                <w:szCs w:val="20"/>
              </w:rPr>
            </w:pPr>
            <w:r w:rsidRPr="00D32EC7">
              <w:rPr>
                <w:rFonts w:ascii="Calibri" w:hAnsi="Calibri" w:cs="Calibri"/>
                <w:color w:val="000000" w:themeColor="text1"/>
                <w:sz w:val="20"/>
                <w:szCs w:val="20"/>
              </w:rPr>
              <w:t>4</w:t>
            </w:r>
          </w:p>
        </w:tc>
        <w:tc>
          <w:tcPr>
            <w:tcW w:w="907" w:type="dxa"/>
            <w:vAlign w:val="center"/>
          </w:tcPr>
          <w:p w14:paraId="166E0EA8" w14:textId="77777777" w:rsidR="004351C4" w:rsidRPr="001A21D5" w:rsidRDefault="004351C4" w:rsidP="001A21D5">
            <w:pPr>
              <w:jc w:val="right"/>
              <w:rPr>
                <w:rFonts w:ascii="Calibri" w:hAnsi="Calibri" w:cs="Calibri"/>
                <w:color w:val="000000" w:themeColor="text1"/>
                <w:sz w:val="20"/>
                <w:szCs w:val="20"/>
              </w:rPr>
            </w:pPr>
            <w:r w:rsidRPr="00D32EC7">
              <w:rPr>
                <w:rFonts w:ascii="Calibri" w:hAnsi="Calibri" w:cs="Calibri"/>
                <w:color w:val="000000" w:themeColor="text1"/>
                <w:sz w:val="20"/>
                <w:szCs w:val="20"/>
              </w:rPr>
              <w:t>91</w:t>
            </w:r>
          </w:p>
        </w:tc>
        <w:tc>
          <w:tcPr>
            <w:tcW w:w="907" w:type="dxa"/>
            <w:vAlign w:val="center"/>
          </w:tcPr>
          <w:p w14:paraId="1734FDA1" w14:textId="77777777" w:rsidR="004351C4" w:rsidRPr="001A21D5" w:rsidRDefault="004351C4" w:rsidP="001A21D5">
            <w:pPr>
              <w:jc w:val="right"/>
              <w:rPr>
                <w:rFonts w:ascii="Calibri" w:hAnsi="Calibri" w:cs="Calibri"/>
                <w:color w:val="000000" w:themeColor="text1"/>
                <w:sz w:val="20"/>
                <w:szCs w:val="20"/>
              </w:rPr>
            </w:pPr>
            <w:r w:rsidRPr="00D32EC7">
              <w:rPr>
                <w:rFonts w:ascii="Calibri" w:hAnsi="Calibri" w:cs="Calibri"/>
                <w:color w:val="000000" w:themeColor="text1"/>
                <w:sz w:val="20"/>
                <w:szCs w:val="20"/>
              </w:rPr>
              <w:t>145</w:t>
            </w:r>
          </w:p>
        </w:tc>
        <w:tc>
          <w:tcPr>
            <w:tcW w:w="907" w:type="dxa"/>
            <w:vAlign w:val="center"/>
          </w:tcPr>
          <w:p w14:paraId="66F2BE9C" w14:textId="77777777" w:rsidR="004351C4" w:rsidRPr="00D32EC7" w:rsidRDefault="004351C4" w:rsidP="00914293">
            <w:pPr>
              <w:jc w:val="right"/>
              <w:rPr>
                <w:rFonts w:ascii="Calibri" w:hAnsi="Calibri" w:cs="Calibri"/>
                <w:color w:val="000000" w:themeColor="text1"/>
                <w:sz w:val="20"/>
                <w:szCs w:val="20"/>
              </w:rPr>
            </w:pPr>
            <w:r>
              <w:rPr>
                <w:rFonts w:ascii="Calibri" w:hAnsi="Calibri" w:cs="Calibri"/>
                <w:color w:val="000000" w:themeColor="text1"/>
                <w:sz w:val="20"/>
                <w:szCs w:val="20"/>
              </w:rPr>
              <w:t>203</w:t>
            </w:r>
          </w:p>
        </w:tc>
      </w:tr>
    </w:tbl>
    <w:p w14:paraId="29435F67" w14:textId="77777777" w:rsidR="007A7E36" w:rsidRPr="0015190A" w:rsidRDefault="007A7E36" w:rsidP="00777F26">
      <w:pPr>
        <w:spacing w:before="40" w:after="120" w:line="240" w:lineRule="auto"/>
        <w:jc w:val="both"/>
        <w:rPr>
          <w:rFonts w:ascii="Calibri" w:hAnsi="Calibri" w:cs="Calibri"/>
          <w:color w:val="000000" w:themeColor="text1"/>
          <w:sz w:val="20"/>
          <w:szCs w:val="20"/>
        </w:rPr>
      </w:pPr>
      <w:r w:rsidRPr="00777F26">
        <w:rPr>
          <w:rFonts w:ascii="Calibri" w:hAnsi="Calibri" w:cs="Calibri"/>
          <w:b/>
          <w:color w:val="000000" w:themeColor="text1"/>
          <w:sz w:val="20"/>
          <w:szCs w:val="20"/>
        </w:rPr>
        <w:t xml:space="preserve">Zdroj: </w:t>
      </w:r>
      <w:r w:rsidRPr="008E5A1D">
        <w:rPr>
          <w:rFonts w:ascii="Calibri" w:hAnsi="Calibri" w:cs="Calibri"/>
          <w:color w:val="000000" w:themeColor="text1"/>
          <w:sz w:val="20"/>
          <w:szCs w:val="20"/>
        </w:rPr>
        <w:t>vypracoval</w:t>
      </w:r>
      <w:r>
        <w:rPr>
          <w:rFonts w:ascii="Calibri" w:hAnsi="Calibri" w:cs="Calibri"/>
          <w:color w:val="000000" w:themeColor="text1"/>
          <w:sz w:val="20"/>
          <w:szCs w:val="20"/>
        </w:rPr>
        <w:t xml:space="preserve"> NKÚ na základě dat poskytnutých GFŘ.</w:t>
      </w:r>
    </w:p>
    <w:p w14:paraId="18AFC8E3" w14:textId="34F2029F" w:rsidR="00084C30" w:rsidRDefault="00084C30" w:rsidP="00B66659">
      <w:pPr>
        <w:spacing w:before="120" w:after="120"/>
        <w:jc w:val="both"/>
        <w:rPr>
          <w:rFonts w:ascii="Calibri" w:hAnsi="Calibri" w:cs="Calibri"/>
          <w:color w:val="000000" w:themeColor="text1"/>
          <w:sz w:val="24"/>
          <w:szCs w:val="24"/>
        </w:rPr>
      </w:pPr>
      <w:r>
        <w:rPr>
          <w:rFonts w:ascii="Calibri" w:hAnsi="Calibri" w:cs="Calibri"/>
          <w:color w:val="000000" w:themeColor="text1"/>
          <w:sz w:val="24"/>
          <w:szCs w:val="24"/>
        </w:rPr>
        <w:t xml:space="preserve">NKÚ zjistil, že v roce 2022 podíl </w:t>
      </w:r>
      <w:r w:rsidR="000672D2">
        <w:rPr>
          <w:rFonts w:ascii="Calibri" w:hAnsi="Calibri" w:cs="Calibri"/>
          <w:color w:val="000000" w:themeColor="text1"/>
          <w:sz w:val="24"/>
          <w:szCs w:val="24"/>
        </w:rPr>
        <w:t>DAP</w:t>
      </w:r>
      <w:r>
        <w:rPr>
          <w:rFonts w:ascii="Calibri" w:hAnsi="Calibri" w:cs="Calibri"/>
          <w:color w:val="000000" w:themeColor="text1"/>
          <w:sz w:val="24"/>
          <w:szCs w:val="24"/>
        </w:rPr>
        <w:t xml:space="preserve"> obsahujících údaje v souvislosti se směrnicemi ATAD na celkovém počtu podaných </w:t>
      </w:r>
      <w:r w:rsidR="000672D2">
        <w:rPr>
          <w:rFonts w:ascii="Calibri" w:hAnsi="Calibri" w:cs="Calibri"/>
          <w:color w:val="000000" w:themeColor="text1"/>
          <w:sz w:val="24"/>
          <w:szCs w:val="24"/>
        </w:rPr>
        <w:t>DAP</w:t>
      </w:r>
      <w:r>
        <w:rPr>
          <w:rFonts w:ascii="Calibri" w:hAnsi="Calibri" w:cs="Calibri"/>
          <w:color w:val="000000" w:themeColor="text1"/>
          <w:sz w:val="24"/>
          <w:szCs w:val="24"/>
        </w:rPr>
        <w:t xml:space="preserve"> </w:t>
      </w:r>
      <w:r w:rsidR="007728DC">
        <w:rPr>
          <w:rFonts w:ascii="Calibri" w:hAnsi="Calibri" w:cs="Calibri"/>
          <w:color w:val="000000" w:themeColor="text1"/>
          <w:sz w:val="24"/>
          <w:szCs w:val="24"/>
        </w:rPr>
        <w:t>činil</w:t>
      </w:r>
      <w:r>
        <w:rPr>
          <w:rFonts w:ascii="Calibri" w:hAnsi="Calibri" w:cs="Calibri"/>
          <w:color w:val="000000" w:themeColor="text1"/>
          <w:sz w:val="24"/>
          <w:szCs w:val="24"/>
        </w:rPr>
        <w:t xml:space="preserve"> 0,03 %.</w:t>
      </w:r>
    </w:p>
    <w:p w14:paraId="2ABA7778" w14:textId="222FACD0" w:rsidR="00020202" w:rsidRDefault="00FD472B" w:rsidP="00020202">
      <w:pPr>
        <w:spacing w:before="120" w:after="120"/>
        <w:jc w:val="both"/>
        <w:rPr>
          <w:rFonts w:ascii="Calibri" w:hAnsi="Calibri" w:cs="Calibri"/>
          <w:color w:val="000000" w:themeColor="text1"/>
          <w:sz w:val="24"/>
          <w:szCs w:val="24"/>
        </w:rPr>
      </w:pPr>
      <w:r>
        <w:rPr>
          <w:rFonts w:ascii="Calibri" w:hAnsi="Calibri" w:cs="Calibri"/>
          <w:color w:val="000000" w:themeColor="text1"/>
          <w:sz w:val="24"/>
          <w:szCs w:val="24"/>
        </w:rPr>
        <w:t>Ú</w:t>
      </w:r>
      <w:r w:rsidRPr="00B93F78">
        <w:rPr>
          <w:rFonts w:ascii="Calibri" w:hAnsi="Calibri" w:cs="Calibri"/>
          <w:color w:val="000000" w:themeColor="text1"/>
          <w:sz w:val="24"/>
          <w:szCs w:val="24"/>
        </w:rPr>
        <w:t xml:space="preserve">daje uvedené </w:t>
      </w:r>
      <w:r w:rsidR="00E5694A">
        <w:rPr>
          <w:rFonts w:ascii="Calibri" w:hAnsi="Calibri" w:cs="Calibri"/>
          <w:color w:val="000000" w:themeColor="text1"/>
          <w:sz w:val="24"/>
          <w:szCs w:val="24"/>
        </w:rPr>
        <w:t>na nových řádcích</w:t>
      </w:r>
      <w:r w:rsidR="007728DC">
        <w:rPr>
          <w:rFonts w:ascii="Calibri" w:hAnsi="Calibri" w:cs="Calibri"/>
          <w:color w:val="000000" w:themeColor="text1"/>
          <w:sz w:val="24"/>
          <w:szCs w:val="24"/>
        </w:rPr>
        <w:t xml:space="preserve"> </w:t>
      </w:r>
      <w:r w:rsidRPr="00B93F78">
        <w:rPr>
          <w:rFonts w:ascii="Calibri" w:hAnsi="Calibri" w:cs="Calibri"/>
          <w:color w:val="000000" w:themeColor="text1"/>
          <w:sz w:val="24"/>
          <w:szCs w:val="24"/>
        </w:rPr>
        <w:t xml:space="preserve">DAP </w:t>
      </w:r>
      <w:r w:rsidR="00B54FB4">
        <w:rPr>
          <w:rFonts w:ascii="Calibri" w:hAnsi="Calibri" w:cs="Calibri"/>
          <w:color w:val="000000" w:themeColor="text1"/>
          <w:sz w:val="24"/>
          <w:szCs w:val="24"/>
        </w:rPr>
        <w:t>byly</w:t>
      </w:r>
      <w:r w:rsidR="00B54FB4" w:rsidRPr="00B93F78">
        <w:rPr>
          <w:rFonts w:ascii="Calibri" w:hAnsi="Calibri" w:cs="Calibri"/>
          <w:color w:val="000000" w:themeColor="text1"/>
          <w:sz w:val="24"/>
          <w:szCs w:val="24"/>
        </w:rPr>
        <w:t xml:space="preserve"> </w:t>
      </w:r>
      <w:r w:rsidRPr="00B93F78">
        <w:rPr>
          <w:rFonts w:ascii="Calibri" w:hAnsi="Calibri" w:cs="Calibri"/>
          <w:color w:val="000000" w:themeColor="text1"/>
          <w:sz w:val="24"/>
          <w:szCs w:val="24"/>
        </w:rPr>
        <w:t xml:space="preserve">automatizovaně v ADIS </w:t>
      </w:r>
      <w:r w:rsidR="00020202">
        <w:rPr>
          <w:rFonts w:ascii="Calibri" w:hAnsi="Calibri" w:cs="Calibri"/>
          <w:color w:val="000000" w:themeColor="text1"/>
          <w:sz w:val="24"/>
          <w:szCs w:val="24"/>
        </w:rPr>
        <w:t>porovnávány s údaji uvedenými v</w:t>
      </w:r>
      <w:r w:rsidR="005D443B">
        <w:rPr>
          <w:rFonts w:ascii="Calibri" w:hAnsi="Calibri" w:cs="Calibri"/>
          <w:color w:val="000000" w:themeColor="text1"/>
          <w:sz w:val="24"/>
          <w:szCs w:val="24"/>
        </w:rPr>
        <w:t xml:space="preserve"> souvisejících</w:t>
      </w:r>
      <w:r w:rsidR="007728DC">
        <w:rPr>
          <w:rFonts w:ascii="Calibri" w:hAnsi="Calibri" w:cs="Calibri"/>
          <w:color w:val="000000" w:themeColor="text1"/>
          <w:sz w:val="24"/>
          <w:szCs w:val="24"/>
        </w:rPr>
        <w:t xml:space="preserve"> </w:t>
      </w:r>
      <w:r w:rsidR="00020202">
        <w:rPr>
          <w:rFonts w:ascii="Calibri" w:hAnsi="Calibri" w:cs="Calibri"/>
          <w:color w:val="000000" w:themeColor="text1"/>
          <w:sz w:val="24"/>
          <w:szCs w:val="24"/>
        </w:rPr>
        <w:t>přílohách DAP</w:t>
      </w:r>
      <w:r w:rsidR="0088043D">
        <w:rPr>
          <w:rFonts w:ascii="Calibri" w:hAnsi="Calibri" w:cs="Calibri"/>
          <w:color w:val="000000" w:themeColor="text1"/>
          <w:sz w:val="24"/>
          <w:szCs w:val="24"/>
        </w:rPr>
        <w:t>, ve kterých jsou údaje z těchto řádků uvedeny v členění podle jednotlivých opatření směrnic</w:t>
      </w:r>
      <w:r w:rsidR="000A0B0A">
        <w:rPr>
          <w:rFonts w:ascii="Calibri" w:hAnsi="Calibri" w:cs="Calibri"/>
          <w:color w:val="000000" w:themeColor="text1"/>
          <w:sz w:val="24"/>
          <w:szCs w:val="24"/>
        </w:rPr>
        <w:t>e</w:t>
      </w:r>
      <w:r w:rsidR="0088043D">
        <w:rPr>
          <w:rFonts w:ascii="Calibri" w:hAnsi="Calibri" w:cs="Calibri"/>
          <w:color w:val="000000" w:themeColor="text1"/>
          <w:sz w:val="24"/>
          <w:szCs w:val="24"/>
        </w:rPr>
        <w:t xml:space="preserve"> ATAD</w:t>
      </w:r>
      <w:r w:rsidR="00020202">
        <w:rPr>
          <w:rFonts w:ascii="Calibri" w:hAnsi="Calibri" w:cs="Calibri"/>
          <w:color w:val="000000" w:themeColor="text1"/>
          <w:sz w:val="24"/>
          <w:szCs w:val="24"/>
        </w:rPr>
        <w:t>.</w:t>
      </w:r>
      <w:r w:rsidR="005D443B">
        <w:rPr>
          <w:rFonts w:ascii="Calibri" w:hAnsi="Calibri" w:cs="Calibri"/>
          <w:color w:val="000000" w:themeColor="text1"/>
          <w:sz w:val="24"/>
          <w:szCs w:val="24"/>
        </w:rPr>
        <w:t xml:space="preserve"> ADIS upozornil správce daně na případný nesoulad mezi těmito údaji a poskytl správci daně indicie k individuálnímu posouzení správné aplikace ustanovení </w:t>
      </w:r>
      <w:r w:rsidR="00410DA1">
        <w:rPr>
          <w:rFonts w:ascii="Calibri" w:hAnsi="Calibri" w:cs="Calibri"/>
          <w:color w:val="000000" w:themeColor="text1"/>
          <w:sz w:val="24"/>
          <w:szCs w:val="24"/>
        </w:rPr>
        <w:t xml:space="preserve">zákona o daních z příjmů </w:t>
      </w:r>
      <w:r w:rsidR="005D443B">
        <w:rPr>
          <w:rFonts w:ascii="Calibri" w:hAnsi="Calibri" w:cs="Calibri"/>
          <w:color w:val="000000" w:themeColor="text1"/>
          <w:sz w:val="24"/>
          <w:szCs w:val="24"/>
        </w:rPr>
        <w:t>k problematice ATAD.</w:t>
      </w:r>
      <w:r w:rsidR="00020202">
        <w:rPr>
          <w:rFonts w:ascii="Calibri" w:hAnsi="Calibri" w:cs="Calibri"/>
          <w:color w:val="000000" w:themeColor="text1"/>
          <w:sz w:val="24"/>
          <w:szCs w:val="24"/>
        </w:rPr>
        <w:t xml:space="preserve"> </w:t>
      </w:r>
      <w:r w:rsidRPr="00B93F78">
        <w:rPr>
          <w:rFonts w:ascii="Calibri" w:hAnsi="Calibri" w:cs="Calibri"/>
          <w:color w:val="000000" w:themeColor="text1"/>
          <w:sz w:val="24"/>
          <w:szCs w:val="24"/>
        </w:rPr>
        <w:t>S</w:t>
      </w:r>
      <w:r w:rsidRPr="00B93F78">
        <w:rPr>
          <w:rFonts w:ascii="Calibri" w:hAnsi="Calibri" w:cs="Calibri"/>
          <w:sz w:val="24"/>
          <w:szCs w:val="24"/>
        </w:rPr>
        <w:t>amotné vyplnění hodnot na předmětných řádcích DAP automaticky neznamen</w:t>
      </w:r>
      <w:r w:rsidR="00B54FB4">
        <w:rPr>
          <w:rFonts w:ascii="Calibri" w:hAnsi="Calibri" w:cs="Calibri"/>
          <w:sz w:val="24"/>
          <w:szCs w:val="24"/>
        </w:rPr>
        <w:t>alo</w:t>
      </w:r>
      <w:r w:rsidRPr="00B93F78">
        <w:rPr>
          <w:rFonts w:ascii="Calibri" w:hAnsi="Calibri" w:cs="Calibri"/>
          <w:sz w:val="24"/>
          <w:szCs w:val="24"/>
        </w:rPr>
        <w:t xml:space="preserve"> rizikovost </w:t>
      </w:r>
      <w:r w:rsidR="00ED2A88">
        <w:rPr>
          <w:rFonts w:ascii="Calibri" w:hAnsi="Calibri" w:cs="Calibri"/>
          <w:sz w:val="24"/>
          <w:szCs w:val="24"/>
        </w:rPr>
        <w:t>daňového subjektu.</w:t>
      </w:r>
      <w:r w:rsidR="00F50C6E">
        <w:rPr>
          <w:rFonts w:ascii="Calibri" w:hAnsi="Calibri" w:cs="Calibri"/>
          <w:sz w:val="24"/>
          <w:szCs w:val="24"/>
        </w:rPr>
        <w:t xml:space="preserve"> </w:t>
      </w:r>
    </w:p>
    <w:p w14:paraId="4E86099D" w14:textId="5CD84567" w:rsidR="007D1EF2" w:rsidRDefault="00B671FB" w:rsidP="00B66659">
      <w:pPr>
        <w:spacing w:before="120" w:after="120"/>
        <w:jc w:val="both"/>
        <w:rPr>
          <w:rFonts w:ascii="Calibri" w:hAnsi="Calibri" w:cs="Calibri"/>
          <w:color w:val="000000" w:themeColor="text1"/>
          <w:sz w:val="24"/>
          <w:szCs w:val="24"/>
        </w:rPr>
      </w:pPr>
      <w:r w:rsidRPr="00B93F78">
        <w:rPr>
          <w:rFonts w:ascii="Calibri" w:hAnsi="Calibri" w:cs="Calibri"/>
          <w:color w:val="000000" w:themeColor="text1"/>
          <w:sz w:val="24"/>
          <w:szCs w:val="24"/>
        </w:rPr>
        <w:t>Změny právních předpisů související s implementací směrnic</w:t>
      </w:r>
      <w:r w:rsidR="00524EC1">
        <w:rPr>
          <w:rFonts w:ascii="Calibri" w:hAnsi="Calibri" w:cs="Calibri"/>
          <w:color w:val="000000" w:themeColor="text1"/>
          <w:sz w:val="24"/>
          <w:szCs w:val="24"/>
        </w:rPr>
        <w:t>e</w:t>
      </w:r>
      <w:r w:rsidRPr="00B93F78">
        <w:rPr>
          <w:rFonts w:ascii="Calibri" w:hAnsi="Calibri" w:cs="Calibri"/>
          <w:color w:val="000000" w:themeColor="text1"/>
          <w:sz w:val="24"/>
          <w:szCs w:val="24"/>
        </w:rPr>
        <w:t xml:space="preserve"> ATAD nevyvolaly zásadní změny v procesech a úkonech správy DPPO</w:t>
      </w:r>
      <w:r>
        <w:rPr>
          <w:rFonts w:ascii="Calibri" w:hAnsi="Calibri" w:cs="Calibri"/>
          <w:color w:val="000000" w:themeColor="text1"/>
          <w:sz w:val="24"/>
          <w:szCs w:val="24"/>
        </w:rPr>
        <w:t xml:space="preserve">. </w:t>
      </w:r>
      <w:r w:rsidR="00DC097E">
        <w:rPr>
          <w:rFonts w:ascii="Calibri" w:hAnsi="Calibri" w:cs="Calibri"/>
          <w:color w:val="000000" w:themeColor="text1"/>
          <w:sz w:val="24"/>
          <w:szCs w:val="24"/>
        </w:rPr>
        <w:t xml:space="preserve">Na nové části a údaje DAP související s implementací ATAD </w:t>
      </w:r>
      <w:r w:rsidR="007728DC">
        <w:rPr>
          <w:rFonts w:ascii="Calibri" w:hAnsi="Calibri" w:cs="Calibri"/>
          <w:color w:val="000000" w:themeColor="text1"/>
          <w:sz w:val="24"/>
          <w:szCs w:val="24"/>
        </w:rPr>
        <w:t>nenavazovalo</w:t>
      </w:r>
      <w:r w:rsidR="00DC097E">
        <w:rPr>
          <w:rFonts w:ascii="Calibri" w:hAnsi="Calibri" w:cs="Calibri"/>
          <w:color w:val="000000" w:themeColor="text1"/>
          <w:sz w:val="24"/>
          <w:szCs w:val="24"/>
        </w:rPr>
        <w:t xml:space="preserve"> v rámci správy DPPO žádné speciální a nové využití. </w:t>
      </w:r>
      <w:r>
        <w:rPr>
          <w:rFonts w:ascii="Calibri" w:hAnsi="Calibri" w:cs="Calibri"/>
          <w:color w:val="000000" w:themeColor="text1"/>
          <w:sz w:val="24"/>
          <w:szCs w:val="24"/>
        </w:rPr>
        <w:t xml:space="preserve">Údaje z předmětných řádků a příloh </w:t>
      </w:r>
      <w:r w:rsidR="00020202">
        <w:rPr>
          <w:rFonts w:ascii="Calibri" w:hAnsi="Calibri" w:cs="Calibri"/>
          <w:color w:val="000000" w:themeColor="text1"/>
          <w:sz w:val="24"/>
          <w:szCs w:val="24"/>
        </w:rPr>
        <w:t>využívali</w:t>
      </w:r>
      <w:r>
        <w:rPr>
          <w:rFonts w:ascii="Calibri" w:hAnsi="Calibri" w:cs="Calibri"/>
          <w:color w:val="000000" w:themeColor="text1"/>
          <w:sz w:val="24"/>
          <w:szCs w:val="24"/>
        </w:rPr>
        <w:t xml:space="preserve"> správci daně standardně při správě daní. </w:t>
      </w:r>
      <w:r w:rsidR="00DC097E">
        <w:rPr>
          <w:rFonts w:ascii="Calibri" w:hAnsi="Calibri" w:cs="Calibri"/>
          <w:color w:val="000000" w:themeColor="text1"/>
          <w:sz w:val="24"/>
          <w:szCs w:val="24"/>
        </w:rPr>
        <w:t>Nové řádky a</w:t>
      </w:r>
      <w:r w:rsidR="002D6AF9">
        <w:rPr>
          <w:rFonts w:ascii="Calibri" w:hAnsi="Calibri" w:cs="Calibri"/>
          <w:color w:val="000000" w:themeColor="text1"/>
          <w:sz w:val="24"/>
          <w:szCs w:val="24"/>
        </w:rPr>
        <w:t> </w:t>
      </w:r>
      <w:r w:rsidR="00DC097E">
        <w:rPr>
          <w:rFonts w:ascii="Calibri" w:hAnsi="Calibri" w:cs="Calibri"/>
          <w:color w:val="000000" w:themeColor="text1"/>
          <w:sz w:val="24"/>
          <w:szCs w:val="24"/>
        </w:rPr>
        <w:t xml:space="preserve">přílohy DAP měly sloužit správcům daně v rámci běžné kontrolní činnosti v oblasti DPPO. </w:t>
      </w:r>
    </w:p>
    <w:p w14:paraId="2EFEC351" w14:textId="6FEB72FB" w:rsidR="001A424E" w:rsidRPr="001A21D5" w:rsidRDefault="001A424E" w:rsidP="001A21D5">
      <w:pPr>
        <w:spacing w:before="120" w:after="120"/>
        <w:jc w:val="both"/>
        <w:rPr>
          <w:rFonts w:cstheme="minorHAnsi"/>
          <w:sz w:val="24"/>
          <w:szCs w:val="24"/>
        </w:rPr>
      </w:pPr>
      <w:bookmarkStart w:id="4" w:name="_Hlk174006666"/>
      <w:r w:rsidRPr="001A21D5">
        <w:rPr>
          <w:sz w:val="24"/>
          <w:szCs w:val="24"/>
        </w:rPr>
        <w:t xml:space="preserve">GFŘ </w:t>
      </w:r>
      <w:r w:rsidRPr="001A21D5">
        <w:rPr>
          <w:rFonts w:cstheme="minorHAnsi"/>
          <w:sz w:val="24"/>
          <w:szCs w:val="24"/>
          <w:lang w:eastAsia="cs-CZ"/>
        </w:rPr>
        <w:t>vyhodnocovalo postupy při správě DPPO po transpozici směrnice DAC6 v rámci</w:t>
      </w:r>
      <w:r w:rsidRPr="001A21D5">
        <w:rPr>
          <w:rFonts w:cstheme="minorHAnsi"/>
          <w:sz w:val="24"/>
          <w:szCs w:val="24"/>
        </w:rPr>
        <w:t xml:space="preserve"> každoročního vyhodnocování účinnosti AVI. Vyhodnocení GFŘ poskytovalo EK ve smyslu článku 23, odst. 3 </w:t>
      </w:r>
      <w:r w:rsidR="007728DC">
        <w:rPr>
          <w:rFonts w:cstheme="minorHAnsi"/>
          <w:sz w:val="24"/>
          <w:szCs w:val="24"/>
        </w:rPr>
        <w:t>s</w:t>
      </w:r>
      <w:r w:rsidRPr="001A21D5">
        <w:rPr>
          <w:rFonts w:cstheme="minorHAnsi"/>
          <w:sz w:val="24"/>
          <w:szCs w:val="24"/>
        </w:rPr>
        <w:t>měrnice 2011/16</w:t>
      </w:r>
      <w:r w:rsidRPr="00AE18E1">
        <w:rPr>
          <w:rStyle w:val="Znakapoznpodarou"/>
          <w:sz w:val="24"/>
          <w:szCs w:val="24"/>
        </w:rPr>
        <w:footnoteReference w:id="18"/>
      </w:r>
      <w:r w:rsidRPr="001A21D5">
        <w:rPr>
          <w:rFonts w:cstheme="minorHAnsi"/>
          <w:sz w:val="24"/>
          <w:szCs w:val="24"/>
        </w:rPr>
        <w:t xml:space="preserve"> formou vyplněného dotazníku s názvem „</w:t>
      </w:r>
      <w:proofErr w:type="spellStart"/>
      <w:r w:rsidRPr="001A21D5">
        <w:rPr>
          <w:rFonts w:cstheme="minorHAnsi"/>
          <w:i/>
          <w:sz w:val="24"/>
          <w:szCs w:val="24"/>
        </w:rPr>
        <w:t>Yearly</w:t>
      </w:r>
      <w:proofErr w:type="spellEnd"/>
      <w:r w:rsidRPr="001A21D5">
        <w:rPr>
          <w:rFonts w:cstheme="minorHAnsi"/>
          <w:i/>
          <w:sz w:val="24"/>
          <w:szCs w:val="24"/>
        </w:rPr>
        <w:t xml:space="preserve"> </w:t>
      </w:r>
      <w:proofErr w:type="spellStart"/>
      <w:r w:rsidRPr="001A21D5">
        <w:rPr>
          <w:rFonts w:cstheme="minorHAnsi"/>
          <w:i/>
          <w:sz w:val="24"/>
          <w:szCs w:val="24"/>
        </w:rPr>
        <w:t>Assessment</w:t>
      </w:r>
      <w:proofErr w:type="spellEnd"/>
      <w:r w:rsidRPr="001A21D5">
        <w:rPr>
          <w:rFonts w:cstheme="minorHAnsi"/>
          <w:i/>
          <w:sz w:val="24"/>
          <w:szCs w:val="24"/>
        </w:rPr>
        <w:t xml:space="preserve">“ </w:t>
      </w:r>
      <w:r w:rsidRPr="00814652">
        <w:rPr>
          <w:rFonts w:cstheme="minorHAnsi"/>
          <w:sz w:val="24"/>
          <w:szCs w:val="24"/>
        </w:rPr>
        <w:t>(</w:t>
      </w:r>
      <w:r w:rsidRPr="002733E5">
        <w:rPr>
          <w:rFonts w:cstheme="minorHAnsi"/>
          <w:sz w:val="24"/>
          <w:szCs w:val="24"/>
        </w:rPr>
        <w:t>dále také</w:t>
      </w:r>
      <w:r w:rsidRPr="00814652">
        <w:rPr>
          <w:rFonts w:cstheme="minorHAnsi"/>
          <w:sz w:val="24"/>
          <w:szCs w:val="24"/>
        </w:rPr>
        <w:t xml:space="preserve"> „dotazník YA“</w:t>
      </w:r>
      <w:r w:rsidRPr="002733E5">
        <w:rPr>
          <w:rFonts w:cstheme="minorHAnsi"/>
          <w:sz w:val="24"/>
          <w:szCs w:val="24"/>
        </w:rPr>
        <w:t>)</w:t>
      </w:r>
      <w:r w:rsidRPr="001A21D5">
        <w:rPr>
          <w:rFonts w:cstheme="minorHAnsi"/>
          <w:sz w:val="24"/>
          <w:szCs w:val="24"/>
        </w:rPr>
        <w:t>, u kterého byla stanovena lhůta pro odeslání do 31.</w:t>
      </w:r>
      <w:r w:rsidR="002733E5">
        <w:rPr>
          <w:rFonts w:cstheme="minorHAnsi"/>
          <w:sz w:val="24"/>
          <w:szCs w:val="24"/>
        </w:rPr>
        <w:t> </w:t>
      </w:r>
      <w:r w:rsidRPr="001A21D5">
        <w:rPr>
          <w:rFonts w:cstheme="minorHAnsi"/>
          <w:sz w:val="24"/>
          <w:szCs w:val="24"/>
        </w:rPr>
        <w:t>3.</w:t>
      </w:r>
      <w:r w:rsidR="002733E5">
        <w:rPr>
          <w:rFonts w:cstheme="minorHAnsi"/>
          <w:sz w:val="24"/>
          <w:szCs w:val="24"/>
        </w:rPr>
        <w:t> </w:t>
      </w:r>
      <w:r w:rsidRPr="001A21D5">
        <w:rPr>
          <w:rFonts w:cstheme="minorHAnsi"/>
          <w:sz w:val="24"/>
          <w:szCs w:val="24"/>
        </w:rPr>
        <w:t>následujícího roku po hodnoceném roku.</w:t>
      </w:r>
    </w:p>
    <w:p w14:paraId="7E97D3BD" w14:textId="77777777" w:rsidR="001A424E" w:rsidRPr="001A21D5" w:rsidRDefault="001A424E" w:rsidP="001A21D5">
      <w:pPr>
        <w:spacing w:before="120" w:after="120"/>
        <w:jc w:val="both"/>
        <w:rPr>
          <w:rFonts w:cstheme="minorHAnsi"/>
          <w:sz w:val="24"/>
          <w:szCs w:val="24"/>
        </w:rPr>
      </w:pPr>
      <w:r w:rsidRPr="001A21D5">
        <w:rPr>
          <w:rFonts w:cstheme="minorHAnsi"/>
          <w:sz w:val="24"/>
          <w:szCs w:val="24"/>
        </w:rPr>
        <w:t>NKÚ zjistil, že údaje z oznámení DAC6 týkající se ČR byly od konce roku 2023 nahrávány do analytické databáze pro posouzení rizik, do doby ukončení kontroly NKÚ však nebyly vyvinuty postupy pro zpracování analyzovaných dat.</w:t>
      </w:r>
    </w:p>
    <w:p w14:paraId="21A2E748" w14:textId="77777777" w:rsidR="00347E21" w:rsidRDefault="0046080E" w:rsidP="0046080E">
      <w:pPr>
        <w:spacing w:before="120" w:after="120"/>
        <w:jc w:val="both"/>
        <w:rPr>
          <w:rFonts w:ascii="Calibri" w:eastAsia="Calibri" w:hAnsi="Calibri" w:cs="Arial"/>
          <w:sz w:val="24"/>
          <w:szCs w:val="24"/>
        </w:rPr>
      </w:pPr>
      <w:r>
        <w:rPr>
          <w:rFonts w:cstheme="minorHAnsi"/>
          <w:sz w:val="24"/>
          <w:szCs w:val="24"/>
        </w:rPr>
        <w:t>Podle</w:t>
      </w:r>
      <w:r w:rsidRPr="00F94166">
        <w:rPr>
          <w:rFonts w:cstheme="minorHAnsi"/>
          <w:sz w:val="24"/>
          <w:szCs w:val="24"/>
        </w:rPr>
        <w:t xml:space="preserve"> směrnice DAC6 vznikla </w:t>
      </w:r>
      <w:r>
        <w:rPr>
          <w:rFonts w:cstheme="minorHAnsi"/>
          <w:sz w:val="24"/>
          <w:szCs w:val="24"/>
        </w:rPr>
        <w:t>daňovým subjektům</w:t>
      </w:r>
      <w:r w:rsidRPr="00F94166">
        <w:rPr>
          <w:rFonts w:cstheme="minorHAnsi"/>
          <w:sz w:val="24"/>
          <w:szCs w:val="24"/>
        </w:rPr>
        <w:t xml:space="preserve"> (resp. povinným osobám) povinnost podat oznámení DAC6, a to pouze elektronicky prostřednictvím formuláře, ve stanov</w:t>
      </w:r>
      <w:r>
        <w:rPr>
          <w:rFonts w:cstheme="minorHAnsi"/>
          <w:sz w:val="24"/>
          <w:szCs w:val="24"/>
        </w:rPr>
        <w:t>en</w:t>
      </w:r>
      <w:r w:rsidRPr="00F94166">
        <w:rPr>
          <w:rFonts w:cstheme="minorHAnsi"/>
          <w:sz w:val="24"/>
          <w:szCs w:val="24"/>
        </w:rPr>
        <w:t>ém formátu a</w:t>
      </w:r>
      <w:r>
        <w:rPr>
          <w:rFonts w:cstheme="minorHAnsi"/>
          <w:sz w:val="24"/>
          <w:szCs w:val="24"/>
        </w:rPr>
        <w:t> </w:t>
      </w:r>
      <w:r w:rsidRPr="00F94166">
        <w:rPr>
          <w:rFonts w:cstheme="minorHAnsi"/>
          <w:sz w:val="24"/>
          <w:szCs w:val="24"/>
        </w:rPr>
        <w:t>struktuře. Přesto</w:t>
      </w:r>
      <w:r w:rsidR="00927A54">
        <w:rPr>
          <w:rFonts w:cstheme="minorHAnsi"/>
          <w:sz w:val="24"/>
          <w:szCs w:val="24"/>
        </w:rPr>
        <w:t>že</w:t>
      </w:r>
      <w:r w:rsidRPr="00F94166">
        <w:rPr>
          <w:rFonts w:cstheme="minorHAnsi"/>
          <w:sz w:val="24"/>
          <w:szCs w:val="24"/>
        </w:rPr>
        <w:t xml:space="preserve"> zaměstnanci </w:t>
      </w:r>
      <w:r>
        <w:rPr>
          <w:rFonts w:cstheme="minorHAnsi"/>
          <w:sz w:val="24"/>
          <w:szCs w:val="24"/>
        </w:rPr>
        <w:t>GFŘ</w:t>
      </w:r>
      <w:r w:rsidR="00347E21">
        <w:rPr>
          <w:rFonts w:cstheme="minorHAnsi"/>
          <w:sz w:val="24"/>
          <w:szCs w:val="24"/>
        </w:rPr>
        <w:t xml:space="preserve"> a SFÚ</w:t>
      </w:r>
      <w:r w:rsidR="00927A54">
        <w:rPr>
          <w:rFonts w:cstheme="minorHAnsi"/>
          <w:sz w:val="24"/>
          <w:szCs w:val="24"/>
        </w:rPr>
        <w:t xml:space="preserve"> měli k dispozici data z oznámení DAC6 v elektronické podobě</w:t>
      </w:r>
      <w:r w:rsidRPr="00F94166">
        <w:rPr>
          <w:rFonts w:cstheme="minorHAnsi"/>
          <w:sz w:val="24"/>
          <w:szCs w:val="24"/>
        </w:rPr>
        <w:t xml:space="preserve">, </w:t>
      </w:r>
      <w:r w:rsidRPr="00F94166">
        <w:rPr>
          <w:rFonts w:ascii="Calibri" w:eastAsia="Calibri" w:hAnsi="Calibri" w:cs="Arial"/>
          <w:sz w:val="24"/>
          <w:szCs w:val="24"/>
        </w:rPr>
        <w:t>provádě</w:t>
      </w:r>
      <w:r>
        <w:rPr>
          <w:rFonts w:ascii="Calibri" w:eastAsia="Calibri" w:hAnsi="Calibri" w:cs="Arial"/>
          <w:sz w:val="24"/>
          <w:szCs w:val="24"/>
        </w:rPr>
        <w:t>li</w:t>
      </w:r>
      <w:r w:rsidRPr="00F94166">
        <w:rPr>
          <w:rFonts w:ascii="Calibri" w:eastAsia="Calibri" w:hAnsi="Calibri" w:cs="Arial"/>
          <w:sz w:val="24"/>
          <w:szCs w:val="24"/>
        </w:rPr>
        <w:t xml:space="preserve"> některé činnosti v souvislosti s oznámením DAC6 manuálně.</w:t>
      </w:r>
      <w:r>
        <w:rPr>
          <w:rFonts w:ascii="Calibri" w:eastAsia="Calibri" w:hAnsi="Calibri" w:cs="Arial"/>
          <w:sz w:val="24"/>
          <w:szCs w:val="24"/>
        </w:rPr>
        <w:t xml:space="preserve"> </w:t>
      </w:r>
    </w:p>
    <w:p w14:paraId="018F851C" w14:textId="36A6FCF9" w:rsidR="00927A54" w:rsidRDefault="00347E21" w:rsidP="00347E21">
      <w:pPr>
        <w:spacing w:before="120" w:after="120"/>
        <w:jc w:val="both"/>
        <w:rPr>
          <w:rFonts w:ascii="Calibri" w:eastAsia="Calibri" w:hAnsi="Calibri" w:cs="Arial"/>
          <w:sz w:val="24"/>
          <w:szCs w:val="24"/>
        </w:rPr>
      </w:pPr>
      <w:r>
        <w:rPr>
          <w:rFonts w:ascii="Calibri" w:eastAsia="Calibri" w:hAnsi="Calibri" w:cs="Arial"/>
          <w:sz w:val="24"/>
          <w:szCs w:val="24"/>
        </w:rPr>
        <w:t xml:space="preserve">NKÚ zjistil, že při zpracování informací z příchozích a odchozích oznámení DAC6 nedocházelo na GFŘ k </w:t>
      </w:r>
      <w:r w:rsidR="0046080E" w:rsidRPr="00F94166">
        <w:rPr>
          <w:rFonts w:ascii="Calibri" w:eastAsia="Calibri" w:hAnsi="Calibri" w:cs="Arial"/>
          <w:sz w:val="24"/>
          <w:szCs w:val="24"/>
        </w:rPr>
        <w:t>automatickému ztotožňování daňových subjektů a</w:t>
      </w:r>
      <w:r w:rsidR="0046080E">
        <w:rPr>
          <w:rFonts w:ascii="Calibri" w:eastAsia="Calibri" w:hAnsi="Calibri" w:cs="Arial"/>
          <w:sz w:val="24"/>
          <w:szCs w:val="24"/>
        </w:rPr>
        <w:t> </w:t>
      </w:r>
      <w:r w:rsidR="0046080E" w:rsidRPr="00F94166">
        <w:rPr>
          <w:rFonts w:ascii="Calibri" w:eastAsia="Calibri" w:hAnsi="Calibri" w:cs="Arial"/>
          <w:sz w:val="24"/>
          <w:szCs w:val="24"/>
        </w:rPr>
        <w:t>vyhledání daňového subjektu v</w:t>
      </w:r>
      <w:r w:rsidR="0046080E">
        <w:rPr>
          <w:rFonts w:ascii="Calibri" w:eastAsia="Calibri" w:hAnsi="Calibri" w:cs="Arial"/>
          <w:sz w:val="24"/>
          <w:szCs w:val="24"/>
        </w:rPr>
        <w:t> </w:t>
      </w:r>
      <w:r w:rsidR="002733E5">
        <w:rPr>
          <w:rFonts w:ascii="Calibri" w:eastAsia="Calibri" w:hAnsi="Calibri" w:cs="Arial"/>
          <w:sz w:val="24"/>
          <w:szCs w:val="24"/>
        </w:rPr>
        <w:t>c</w:t>
      </w:r>
      <w:r w:rsidR="0046080E">
        <w:rPr>
          <w:rFonts w:ascii="Calibri" w:eastAsia="Calibri" w:hAnsi="Calibri" w:cs="Arial"/>
          <w:sz w:val="24"/>
          <w:szCs w:val="24"/>
        </w:rPr>
        <w:t>entrálním registru daňových subjektů</w:t>
      </w:r>
      <w:r w:rsidR="0046080E" w:rsidRPr="00F94166">
        <w:rPr>
          <w:rFonts w:ascii="Calibri" w:eastAsia="Calibri" w:hAnsi="Calibri" w:cs="Arial"/>
          <w:sz w:val="24"/>
          <w:szCs w:val="24"/>
        </w:rPr>
        <w:t xml:space="preserve"> prováděl zaměstnanec GFŘ manuálně</w:t>
      </w:r>
      <w:r w:rsidR="001A424E">
        <w:rPr>
          <w:rFonts w:ascii="Calibri" w:eastAsia="Calibri" w:hAnsi="Calibri" w:cs="Arial"/>
          <w:sz w:val="24"/>
          <w:szCs w:val="24"/>
        </w:rPr>
        <w:t>, a to pouze ve vybraných případech</w:t>
      </w:r>
      <w:r w:rsidR="0046080E" w:rsidRPr="00F94166">
        <w:rPr>
          <w:rFonts w:ascii="Calibri" w:eastAsia="Calibri" w:hAnsi="Calibri" w:cs="Arial"/>
          <w:sz w:val="24"/>
          <w:szCs w:val="24"/>
        </w:rPr>
        <w:t>. Manuálně také probíhalo analyzování a vyhodnocování rizikovosti jednotlivých uspořádání, a to na základě údajů uvedených v oznámeních DAC6.</w:t>
      </w:r>
    </w:p>
    <w:p w14:paraId="79F22F60" w14:textId="376FA898" w:rsidR="0046080E" w:rsidRDefault="00623BAA" w:rsidP="00B60D9D">
      <w:pPr>
        <w:spacing w:before="120" w:after="120"/>
        <w:jc w:val="both"/>
        <w:rPr>
          <w:rFonts w:ascii="Calibri" w:eastAsia="Calibri" w:hAnsi="Calibri" w:cs="Arial"/>
          <w:sz w:val="24"/>
          <w:szCs w:val="24"/>
        </w:rPr>
      </w:pPr>
      <w:r>
        <w:rPr>
          <w:sz w:val="24"/>
          <w:szCs w:val="24"/>
        </w:rPr>
        <w:t>NKÚ zjistil,</w:t>
      </w:r>
      <w:r w:rsidR="00927A54" w:rsidRPr="001A21D5">
        <w:rPr>
          <w:sz w:val="24"/>
          <w:szCs w:val="24"/>
        </w:rPr>
        <w:t xml:space="preserve"> že ADIS neumožňoval přesun informací z oznámení DAC6 místně příslušným správcům daně automatizovaně</w:t>
      </w:r>
      <w:r>
        <w:rPr>
          <w:sz w:val="24"/>
          <w:szCs w:val="24"/>
        </w:rPr>
        <w:t>. Z tohoto důvodu</w:t>
      </w:r>
      <w:r w:rsidR="00927A54">
        <w:t xml:space="preserve"> </w:t>
      </w:r>
      <w:r w:rsidR="0046080E" w:rsidRPr="005D00A9">
        <w:rPr>
          <w:rFonts w:ascii="Calibri" w:eastAsia="Calibri" w:hAnsi="Calibri" w:cs="Arial"/>
          <w:sz w:val="24"/>
          <w:szCs w:val="24"/>
        </w:rPr>
        <w:t>GFŘ</w:t>
      </w:r>
      <w:r w:rsidR="00471CF1">
        <w:rPr>
          <w:rFonts w:ascii="Calibri" w:eastAsia="Calibri" w:hAnsi="Calibri" w:cs="Arial"/>
          <w:sz w:val="24"/>
          <w:szCs w:val="24"/>
        </w:rPr>
        <w:t xml:space="preserve"> zasílalo</w:t>
      </w:r>
      <w:r w:rsidR="00927A54" w:rsidRPr="005D00A9">
        <w:rPr>
          <w:rFonts w:ascii="Calibri" w:eastAsia="Calibri" w:hAnsi="Calibri" w:cs="Arial"/>
          <w:sz w:val="24"/>
          <w:szCs w:val="24"/>
        </w:rPr>
        <w:t xml:space="preserve"> </w:t>
      </w:r>
      <w:r w:rsidR="0046080E" w:rsidRPr="005D00A9">
        <w:rPr>
          <w:rFonts w:ascii="Calibri" w:eastAsia="Calibri" w:hAnsi="Calibri" w:cs="Arial"/>
          <w:sz w:val="24"/>
          <w:szCs w:val="24"/>
        </w:rPr>
        <w:t xml:space="preserve">na FÚ pouze </w:t>
      </w:r>
      <w:r w:rsidR="00927A54">
        <w:rPr>
          <w:rFonts w:ascii="Calibri" w:eastAsia="Calibri" w:hAnsi="Calibri" w:cs="Arial"/>
          <w:sz w:val="24"/>
          <w:szCs w:val="24"/>
        </w:rPr>
        <w:t>informace o</w:t>
      </w:r>
      <w:r w:rsidR="002D6AF9">
        <w:rPr>
          <w:rFonts w:ascii="Calibri" w:eastAsia="Calibri" w:hAnsi="Calibri" w:cs="Arial"/>
          <w:sz w:val="24"/>
          <w:szCs w:val="24"/>
        </w:rPr>
        <w:t> </w:t>
      </w:r>
      <w:r w:rsidR="00927A54">
        <w:rPr>
          <w:rFonts w:ascii="Calibri" w:eastAsia="Calibri" w:hAnsi="Calibri" w:cs="Arial"/>
          <w:sz w:val="24"/>
          <w:szCs w:val="24"/>
        </w:rPr>
        <w:t>oznámeních,</w:t>
      </w:r>
      <w:r>
        <w:rPr>
          <w:rFonts w:ascii="Calibri" w:eastAsia="Calibri" w:hAnsi="Calibri" w:cs="Arial"/>
          <w:sz w:val="24"/>
          <w:szCs w:val="24"/>
        </w:rPr>
        <w:t xml:space="preserve"> </w:t>
      </w:r>
      <w:r w:rsidR="00927A54">
        <w:rPr>
          <w:rFonts w:ascii="Calibri" w:eastAsia="Calibri" w:hAnsi="Calibri" w:cs="Arial"/>
          <w:sz w:val="24"/>
          <w:szCs w:val="24"/>
        </w:rPr>
        <w:t xml:space="preserve">ve kterých identifikovalo rizika v přeshraničních uspořádáních, nikoliv informace o všech oznámeních DAC6. </w:t>
      </w:r>
    </w:p>
    <w:bookmarkEnd w:id="4"/>
    <w:p w14:paraId="5B107C85" w14:textId="7A0E6A93" w:rsidR="00FC3CF5" w:rsidRDefault="00F81385" w:rsidP="00FC3CF5">
      <w:pPr>
        <w:spacing w:before="120" w:after="120"/>
        <w:jc w:val="both"/>
        <w:rPr>
          <w:rFonts w:ascii="Calibri" w:eastAsia="Calibri" w:hAnsi="Calibri" w:cs="Arial"/>
          <w:sz w:val="24"/>
          <w:szCs w:val="24"/>
        </w:rPr>
      </w:pPr>
      <w:r>
        <w:rPr>
          <w:rFonts w:cstheme="minorHAnsi"/>
          <w:sz w:val="24"/>
          <w:szCs w:val="24"/>
        </w:rPr>
        <w:t xml:space="preserve">NKÚ vyhodnotil elektronizaci správy DPPO v oblasti oznámení DAC6 jako </w:t>
      </w:r>
      <w:r w:rsidR="005C7195">
        <w:rPr>
          <w:rFonts w:cstheme="minorHAnsi"/>
          <w:sz w:val="24"/>
          <w:szCs w:val="24"/>
        </w:rPr>
        <w:t>nedostatečn</w:t>
      </w:r>
      <w:r w:rsidR="00FA74F3">
        <w:rPr>
          <w:rFonts w:cstheme="minorHAnsi"/>
          <w:sz w:val="24"/>
          <w:szCs w:val="24"/>
        </w:rPr>
        <w:t>ou</w:t>
      </w:r>
      <w:r w:rsidR="005C7195">
        <w:rPr>
          <w:rFonts w:cstheme="minorHAnsi"/>
          <w:sz w:val="24"/>
          <w:szCs w:val="24"/>
        </w:rPr>
        <w:t xml:space="preserve"> </w:t>
      </w:r>
      <w:r>
        <w:rPr>
          <w:rFonts w:cstheme="minorHAnsi"/>
          <w:sz w:val="24"/>
          <w:szCs w:val="24"/>
        </w:rPr>
        <w:t xml:space="preserve">z důvodu nízké automatizace procesů spojených s oznámeními DAC6. </w:t>
      </w:r>
      <w:r w:rsidR="00FC3CF5">
        <w:rPr>
          <w:rFonts w:ascii="Calibri" w:eastAsia="Calibri" w:hAnsi="Calibri" w:cs="Arial"/>
          <w:sz w:val="24"/>
          <w:szCs w:val="24"/>
        </w:rPr>
        <w:t>Důvodem nízké automatizace byla skutečnost, že dosud nedošlo k nahrazení ADIS novým systémem, který by automatizovan</w:t>
      </w:r>
      <w:r>
        <w:rPr>
          <w:rFonts w:ascii="Calibri" w:eastAsia="Calibri" w:hAnsi="Calibri" w:cs="Arial"/>
          <w:sz w:val="24"/>
          <w:szCs w:val="24"/>
        </w:rPr>
        <w:t>ě umožnoval</w:t>
      </w:r>
      <w:r w:rsidR="00FC3CF5">
        <w:rPr>
          <w:rFonts w:ascii="Calibri" w:eastAsia="Calibri" w:hAnsi="Calibri" w:cs="Arial"/>
          <w:sz w:val="24"/>
          <w:szCs w:val="24"/>
        </w:rPr>
        <w:t xml:space="preserve"> </w:t>
      </w:r>
      <w:r>
        <w:rPr>
          <w:rFonts w:ascii="Calibri" w:eastAsia="Calibri" w:hAnsi="Calibri" w:cs="Arial"/>
          <w:sz w:val="24"/>
          <w:szCs w:val="24"/>
        </w:rPr>
        <w:t>kompletní</w:t>
      </w:r>
      <w:r w:rsidR="00FC3CF5">
        <w:rPr>
          <w:rFonts w:ascii="Calibri" w:eastAsia="Calibri" w:hAnsi="Calibri" w:cs="Arial"/>
          <w:sz w:val="24"/>
          <w:szCs w:val="24"/>
        </w:rPr>
        <w:t xml:space="preserve"> zpracování </w:t>
      </w:r>
      <w:r>
        <w:rPr>
          <w:rFonts w:ascii="Calibri" w:eastAsia="Calibri" w:hAnsi="Calibri" w:cs="Arial"/>
          <w:sz w:val="24"/>
          <w:szCs w:val="24"/>
        </w:rPr>
        <w:t xml:space="preserve">oznámení DAC6 </w:t>
      </w:r>
      <w:r w:rsidR="00FC3CF5">
        <w:rPr>
          <w:rFonts w:ascii="Calibri" w:eastAsia="Calibri" w:hAnsi="Calibri" w:cs="Arial"/>
          <w:sz w:val="24"/>
          <w:szCs w:val="24"/>
        </w:rPr>
        <w:t xml:space="preserve">a předávání </w:t>
      </w:r>
      <w:r>
        <w:rPr>
          <w:rFonts w:ascii="Calibri" w:eastAsia="Calibri" w:hAnsi="Calibri" w:cs="Arial"/>
          <w:sz w:val="24"/>
          <w:szCs w:val="24"/>
        </w:rPr>
        <w:t>informací z</w:t>
      </w:r>
      <w:r w:rsidR="002D6AF9">
        <w:rPr>
          <w:rFonts w:ascii="Calibri" w:eastAsia="Calibri" w:hAnsi="Calibri" w:cs="Arial"/>
          <w:sz w:val="24"/>
          <w:szCs w:val="24"/>
        </w:rPr>
        <w:t> </w:t>
      </w:r>
      <w:r w:rsidR="00FC3CF5">
        <w:rPr>
          <w:rFonts w:ascii="Calibri" w:eastAsia="Calibri" w:hAnsi="Calibri" w:cs="Arial"/>
          <w:sz w:val="24"/>
          <w:szCs w:val="24"/>
        </w:rPr>
        <w:t>oznámení DAC6</w:t>
      </w:r>
      <w:r>
        <w:rPr>
          <w:rFonts w:ascii="Calibri" w:eastAsia="Calibri" w:hAnsi="Calibri" w:cs="Arial"/>
          <w:sz w:val="24"/>
          <w:szCs w:val="24"/>
        </w:rPr>
        <w:t xml:space="preserve"> místně příslušným správcům daně</w:t>
      </w:r>
      <w:r w:rsidR="00FC3CF5">
        <w:rPr>
          <w:rFonts w:ascii="Calibri" w:eastAsia="Calibri" w:hAnsi="Calibri" w:cs="Arial"/>
          <w:sz w:val="24"/>
          <w:szCs w:val="24"/>
        </w:rPr>
        <w:t>.</w:t>
      </w:r>
    </w:p>
    <w:p w14:paraId="073F2522" w14:textId="77777777" w:rsidR="00127906" w:rsidRPr="00382C17" w:rsidRDefault="009A673E" w:rsidP="00777F26">
      <w:pPr>
        <w:keepNext/>
        <w:spacing w:before="240" w:after="120"/>
        <w:jc w:val="both"/>
        <w:rPr>
          <w:rFonts w:ascii="Calibri" w:hAnsi="Calibri" w:cs="Calibri"/>
          <w:b/>
          <w:sz w:val="24"/>
          <w:szCs w:val="24"/>
        </w:rPr>
      </w:pPr>
      <w:r>
        <w:rPr>
          <w:rFonts w:ascii="Calibri" w:hAnsi="Calibri" w:cs="Calibri"/>
          <w:b/>
          <w:sz w:val="24"/>
          <w:szCs w:val="24"/>
        </w:rPr>
        <w:t>4</w:t>
      </w:r>
      <w:r w:rsidR="00695130" w:rsidRPr="00382C17">
        <w:rPr>
          <w:rFonts w:ascii="Calibri" w:hAnsi="Calibri" w:cs="Calibri"/>
          <w:b/>
          <w:sz w:val="24"/>
          <w:szCs w:val="24"/>
        </w:rPr>
        <w:t xml:space="preserve">. </w:t>
      </w:r>
      <w:r w:rsidR="00127906" w:rsidRPr="00382C17">
        <w:rPr>
          <w:rFonts w:ascii="Calibri" w:hAnsi="Calibri" w:cs="Calibri"/>
          <w:b/>
          <w:sz w:val="24"/>
          <w:szCs w:val="24"/>
        </w:rPr>
        <w:t>GFŘ ne</w:t>
      </w:r>
      <w:r w:rsidR="00B60D9D">
        <w:rPr>
          <w:rFonts w:ascii="Calibri" w:hAnsi="Calibri" w:cs="Calibri"/>
          <w:b/>
          <w:sz w:val="24"/>
          <w:szCs w:val="24"/>
        </w:rPr>
        <w:t xml:space="preserve">splnilo povinnost </w:t>
      </w:r>
      <w:r w:rsidR="00127906" w:rsidRPr="00382C17">
        <w:rPr>
          <w:rFonts w:ascii="Calibri" w:hAnsi="Calibri" w:cs="Calibri"/>
          <w:b/>
          <w:sz w:val="24"/>
          <w:szCs w:val="24"/>
        </w:rPr>
        <w:t>vyčísl</w:t>
      </w:r>
      <w:r w:rsidR="00B60D9D">
        <w:rPr>
          <w:rFonts w:ascii="Calibri" w:hAnsi="Calibri" w:cs="Calibri"/>
          <w:b/>
          <w:sz w:val="24"/>
          <w:szCs w:val="24"/>
        </w:rPr>
        <w:t>it</w:t>
      </w:r>
      <w:r w:rsidR="00127906" w:rsidRPr="00382C17">
        <w:rPr>
          <w:rFonts w:ascii="Calibri" w:hAnsi="Calibri" w:cs="Calibri"/>
          <w:b/>
          <w:sz w:val="24"/>
          <w:szCs w:val="24"/>
        </w:rPr>
        <w:t xml:space="preserve"> náklad</w:t>
      </w:r>
      <w:r w:rsidR="00B60D9D">
        <w:rPr>
          <w:rFonts w:ascii="Calibri" w:hAnsi="Calibri" w:cs="Calibri"/>
          <w:b/>
          <w:sz w:val="24"/>
          <w:szCs w:val="24"/>
        </w:rPr>
        <w:t>y</w:t>
      </w:r>
      <w:r w:rsidR="00127906" w:rsidRPr="00382C17">
        <w:rPr>
          <w:rFonts w:ascii="Calibri" w:hAnsi="Calibri" w:cs="Calibri"/>
          <w:b/>
          <w:sz w:val="24"/>
          <w:szCs w:val="24"/>
        </w:rPr>
        <w:t xml:space="preserve"> spojen</w:t>
      </w:r>
      <w:r w:rsidR="00B60D9D">
        <w:rPr>
          <w:rFonts w:ascii="Calibri" w:hAnsi="Calibri" w:cs="Calibri"/>
          <w:b/>
          <w:sz w:val="24"/>
          <w:szCs w:val="24"/>
        </w:rPr>
        <w:t>é</w:t>
      </w:r>
      <w:r w:rsidR="00127906" w:rsidRPr="00382C17">
        <w:rPr>
          <w:rFonts w:ascii="Calibri" w:hAnsi="Calibri" w:cs="Calibri"/>
          <w:b/>
          <w:sz w:val="24"/>
          <w:szCs w:val="24"/>
        </w:rPr>
        <w:t xml:space="preserve"> s automatickou výměnou informací</w:t>
      </w:r>
    </w:p>
    <w:p w14:paraId="1C80387C" w14:textId="3F43A49D" w:rsidR="008A69AE" w:rsidRPr="00AE18E1" w:rsidDel="00B82E79" w:rsidRDefault="008A69AE" w:rsidP="008A69AE">
      <w:pPr>
        <w:spacing w:before="120" w:after="120"/>
        <w:jc w:val="both"/>
        <w:rPr>
          <w:rFonts w:cstheme="minorHAnsi"/>
          <w:sz w:val="24"/>
          <w:szCs w:val="24"/>
        </w:rPr>
      </w:pPr>
      <w:r w:rsidRPr="00AE18E1">
        <w:rPr>
          <w:rFonts w:cstheme="minorHAnsi"/>
          <w:sz w:val="24"/>
          <w:szCs w:val="24"/>
        </w:rPr>
        <w:t>V souvislosti s implementací směrnice DAC6 vynaložily MF a GFŘ v letech 2019 až 2023 peněžní prostředky ve výši 15,1 mil. Kč na zaměstnance MF a GFŘ provádějící činnosti v souvislosti s</w:t>
      </w:r>
      <w:r w:rsidR="003E5B20">
        <w:rPr>
          <w:rFonts w:cstheme="minorHAnsi"/>
          <w:sz w:val="24"/>
          <w:szCs w:val="24"/>
        </w:rPr>
        <w:t>e</w:t>
      </w:r>
      <w:r w:rsidR="002733E5">
        <w:rPr>
          <w:rFonts w:cstheme="minorHAnsi"/>
          <w:sz w:val="24"/>
          <w:szCs w:val="24"/>
        </w:rPr>
        <w:t xml:space="preserve"> </w:t>
      </w:r>
      <w:r w:rsidRPr="00AE18E1">
        <w:rPr>
          <w:rFonts w:cstheme="minorHAnsi"/>
          <w:sz w:val="24"/>
          <w:szCs w:val="24"/>
        </w:rPr>
        <w:t>směrnic</w:t>
      </w:r>
      <w:r w:rsidR="003E5B20">
        <w:rPr>
          <w:rFonts w:cstheme="minorHAnsi"/>
          <w:sz w:val="24"/>
          <w:szCs w:val="24"/>
        </w:rPr>
        <w:t>í</w:t>
      </w:r>
      <w:r w:rsidRPr="00AE18E1">
        <w:rPr>
          <w:rFonts w:cstheme="minorHAnsi"/>
          <w:sz w:val="24"/>
          <w:szCs w:val="24"/>
        </w:rPr>
        <w:t xml:space="preserve"> DAC6 a na úpravu </w:t>
      </w:r>
      <w:r>
        <w:rPr>
          <w:rFonts w:cstheme="minorHAnsi"/>
          <w:sz w:val="24"/>
          <w:szCs w:val="24"/>
        </w:rPr>
        <w:t>informačních systémů</w:t>
      </w:r>
      <w:r w:rsidRPr="00AE18E1">
        <w:rPr>
          <w:rFonts w:cstheme="minorHAnsi"/>
          <w:sz w:val="24"/>
          <w:szCs w:val="24"/>
        </w:rPr>
        <w:t xml:space="preserve">. </w:t>
      </w:r>
    </w:p>
    <w:p w14:paraId="6DA4D5AB" w14:textId="555F2C59" w:rsidR="00666828" w:rsidRPr="0015190A" w:rsidRDefault="00666828" w:rsidP="00E50126">
      <w:pPr>
        <w:keepNext/>
        <w:spacing w:before="120" w:after="0" w:line="240" w:lineRule="auto"/>
        <w:jc w:val="both"/>
        <w:rPr>
          <w:rFonts w:ascii="Calibri" w:hAnsi="Calibri" w:cs="Calibri"/>
          <w:b/>
          <w:sz w:val="24"/>
          <w:szCs w:val="24"/>
        </w:rPr>
      </w:pPr>
      <w:r w:rsidRPr="0015190A">
        <w:rPr>
          <w:rFonts w:ascii="Calibri" w:hAnsi="Calibri" w:cs="Calibri"/>
          <w:b/>
          <w:sz w:val="24"/>
          <w:szCs w:val="24"/>
        </w:rPr>
        <w:t xml:space="preserve">Graf č. </w:t>
      </w:r>
      <w:r>
        <w:rPr>
          <w:rFonts w:ascii="Calibri" w:hAnsi="Calibri" w:cs="Calibri"/>
          <w:b/>
          <w:sz w:val="24"/>
          <w:szCs w:val="24"/>
        </w:rPr>
        <w:t>2</w:t>
      </w:r>
      <w:r w:rsidR="002733E5">
        <w:rPr>
          <w:rFonts w:ascii="Calibri" w:hAnsi="Calibri" w:cs="Calibri"/>
          <w:b/>
          <w:sz w:val="24"/>
          <w:szCs w:val="24"/>
        </w:rPr>
        <w:t>:</w:t>
      </w:r>
      <w:r w:rsidR="00BB7001">
        <w:rPr>
          <w:rFonts w:ascii="Calibri" w:hAnsi="Calibri" w:cs="Calibri"/>
          <w:b/>
          <w:sz w:val="24"/>
          <w:szCs w:val="24"/>
        </w:rPr>
        <w:t xml:space="preserve"> </w:t>
      </w:r>
      <w:r w:rsidRPr="0015190A">
        <w:rPr>
          <w:rFonts w:ascii="Calibri" w:hAnsi="Calibri" w:cs="Calibri"/>
          <w:b/>
          <w:sz w:val="24"/>
          <w:szCs w:val="24"/>
        </w:rPr>
        <w:t>Výdaje vynaložené v souvislosti s</w:t>
      </w:r>
      <w:r w:rsidR="00944630">
        <w:rPr>
          <w:rFonts w:ascii="Calibri" w:hAnsi="Calibri" w:cs="Calibri"/>
          <w:b/>
          <w:sz w:val="24"/>
          <w:szCs w:val="24"/>
        </w:rPr>
        <w:t>e</w:t>
      </w:r>
      <w:r w:rsidRPr="0015190A">
        <w:rPr>
          <w:rFonts w:ascii="Calibri" w:hAnsi="Calibri" w:cs="Calibri"/>
          <w:b/>
          <w:sz w:val="24"/>
          <w:szCs w:val="24"/>
        </w:rPr>
        <w:t> směrnic</w:t>
      </w:r>
      <w:r w:rsidR="00944630">
        <w:rPr>
          <w:rFonts w:ascii="Calibri" w:hAnsi="Calibri" w:cs="Calibri"/>
          <w:b/>
          <w:sz w:val="24"/>
          <w:szCs w:val="24"/>
        </w:rPr>
        <w:t>í</w:t>
      </w:r>
      <w:r>
        <w:rPr>
          <w:rFonts w:ascii="Calibri" w:hAnsi="Calibri" w:cs="Calibri"/>
          <w:b/>
          <w:sz w:val="24"/>
          <w:szCs w:val="24"/>
        </w:rPr>
        <w:t xml:space="preserve"> DAC6 </w:t>
      </w:r>
      <w:r w:rsidRPr="0015190A">
        <w:rPr>
          <w:rFonts w:ascii="Calibri" w:hAnsi="Calibri" w:cs="Calibri"/>
          <w:b/>
          <w:sz w:val="24"/>
          <w:szCs w:val="24"/>
        </w:rPr>
        <w:t>v letech 201</w:t>
      </w:r>
      <w:r>
        <w:rPr>
          <w:rFonts w:ascii="Calibri" w:hAnsi="Calibri" w:cs="Calibri"/>
          <w:b/>
          <w:sz w:val="24"/>
          <w:szCs w:val="24"/>
        </w:rPr>
        <w:t>9</w:t>
      </w:r>
      <w:r w:rsidRPr="0015190A">
        <w:rPr>
          <w:rFonts w:ascii="Calibri" w:hAnsi="Calibri" w:cs="Calibri"/>
          <w:b/>
          <w:sz w:val="24"/>
          <w:szCs w:val="24"/>
        </w:rPr>
        <w:t xml:space="preserve"> až 202</w:t>
      </w:r>
      <w:r>
        <w:rPr>
          <w:rFonts w:ascii="Calibri" w:hAnsi="Calibri" w:cs="Calibri"/>
          <w:b/>
          <w:sz w:val="24"/>
          <w:szCs w:val="24"/>
        </w:rPr>
        <w:t>3</w:t>
      </w:r>
    </w:p>
    <w:p w14:paraId="67A5E00E" w14:textId="77777777" w:rsidR="00916AE1" w:rsidRDefault="00736D34" w:rsidP="0003254A">
      <w:pPr>
        <w:spacing w:after="0"/>
        <w:jc w:val="both"/>
        <w:rPr>
          <w:rFonts w:ascii="Calibri" w:hAnsi="Calibri" w:cs="Calibri"/>
          <w:color w:val="000000" w:themeColor="text1"/>
          <w:sz w:val="20"/>
          <w:szCs w:val="20"/>
        </w:rPr>
      </w:pPr>
      <w:r>
        <w:rPr>
          <w:noProof/>
        </w:rPr>
        <w:drawing>
          <wp:inline distT="0" distB="0" distL="0" distR="0" wp14:anchorId="2EA397A1" wp14:editId="66434B50">
            <wp:extent cx="5716905" cy="2340000"/>
            <wp:effectExtent l="0" t="0" r="0" b="3175"/>
            <wp:docPr id="11" name="Graf 11">
              <a:extLst xmlns:a="http://schemas.openxmlformats.org/drawingml/2006/main">
                <a:ext uri="{FF2B5EF4-FFF2-40B4-BE49-F238E27FC236}">
                  <a16:creationId xmlns:a16="http://schemas.microsoft.com/office/drawing/2014/main" id="{D3D1B7F7-7FCA-4D9D-A74D-A911BA077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915851" w14:textId="3F353B3B" w:rsidR="0003254A" w:rsidRPr="008E5A1D" w:rsidRDefault="0003254A" w:rsidP="00777F26">
      <w:pPr>
        <w:spacing w:after="0" w:line="240" w:lineRule="auto"/>
        <w:ind w:left="567" w:hanging="567"/>
        <w:jc w:val="both"/>
        <w:rPr>
          <w:rFonts w:ascii="Calibri" w:hAnsi="Calibri" w:cs="Calibri"/>
          <w:color w:val="000000" w:themeColor="text1"/>
          <w:sz w:val="20"/>
          <w:szCs w:val="20"/>
        </w:rPr>
      </w:pPr>
      <w:r w:rsidRPr="00777F26">
        <w:rPr>
          <w:rFonts w:ascii="Calibri" w:hAnsi="Calibri" w:cs="Calibri"/>
          <w:b/>
          <w:color w:val="000000" w:themeColor="text1"/>
          <w:sz w:val="20"/>
          <w:szCs w:val="20"/>
        </w:rPr>
        <w:t xml:space="preserve">Zdroj: </w:t>
      </w:r>
      <w:r w:rsidRPr="008E5A1D">
        <w:rPr>
          <w:rFonts w:ascii="Calibri" w:hAnsi="Calibri" w:cs="Calibri"/>
          <w:color w:val="000000" w:themeColor="text1"/>
          <w:sz w:val="20"/>
          <w:szCs w:val="20"/>
        </w:rPr>
        <w:t>vypracoval NKÚ na základě dat poskytnutých MF, GFŘ a SFÚ.</w:t>
      </w:r>
    </w:p>
    <w:p w14:paraId="1FF61676" w14:textId="6140E732" w:rsidR="0003254A" w:rsidRPr="005E26D1" w:rsidRDefault="0003254A" w:rsidP="00777F26">
      <w:pPr>
        <w:spacing w:after="0"/>
        <w:ind w:left="567" w:hanging="567"/>
        <w:jc w:val="both"/>
        <w:rPr>
          <w:rFonts w:cstheme="minorHAnsi"/>
          <w:sz w:val="20"/>
          <w:szCs w:val="20"/>
        </w:rPr>
      </w:pPr>
      <w:r w:rsidRPr="00777F26">
        <w:rPr>
          <w:rFonts w:ascii="Calibri" w:hAnsi="Calibri" w:cs="Calibri"/>
          <w:b/>
          <w:color w:val="000000" w:themeColor="text1"/>
          <w:sz w:val="20"/>
          <w:szCs w:val="20"/>
        </w:rPr>
        <w:t xml:space="preserve">Pozn.: </w:t>
      </w:r>
      <w:r w:rsidRPr="008E5A1D">
        <w:rPr>
          <w:rFonts w:ascii="Calibri" w:hAnsi="Calibri" w:cs="Calibri"/>
          <w:color w:val="000000" w:themeColor="text1"/>
          <w:sz w:val="20"/>
          <w:szCs w:val="20"/>
        </w:rPr>
        <w:t xml:space="preserve">NKÚ provedl výpočet mzdových výdajů vynaložených MF </w:t>
      </w:r>
      <w:r w:rsidR="00A374D9" w:rsidRPr="008E5A1D">
        <w:rPr>
          <w:rFonts w:ascii="Calibri" w:hAnsi="Calibri" w:cs="Calibri"/>
          <w:color w:val="000000" w:themeColor="text1"/>
          <w:sz w:val="20"/>
          <w:szCs w:val="20"/>
        </w:rPr>
        <w:t>na</w:t>
      </w:r>
      <w:r w:rsidRPr="008E5A1D">
        <w:rPr>
          <w:rFonts w:ascii="Calibri" w:hAnsi="Calibri" w:cs="Calibri"/>
          <w:color w:val="000000" w:themeColor="text1"/>
          <w:sz w:val="20"/>
          <w:szCs w:val="20"/>
        </w:rPr>
        <w:t xml:space="preserve"> zaměstnance provádějící činnosti v souvislosti s implementací</w:t>
      </w:r>
      <w:r>
        <w:rPr>
          <w:rFonts w:ascii="Calibri" w:hAnsi="Calibri" w:cs="Calibri"/>
          <w:color w:val="000000" w:themeColor="text1"/>
          <w:sz w:val="20"/>
          <w:szCs w:val="20"/>
        </w:rPr>
        <w:t xml:space="preserve"> směrnice DAC6 na základě kvalifikovaného odhadu časové dotace uvedeného MF a</w:t>
      </w:r>
      <w:r w:rsidR="00777F26">
        <w:rPr>
          <w:rFonts w:ascii="Calibri" w:hAnsi="Calibri" w:cs="Calibri"/>
          <w:color w:val="000000" w:themeColor="text1"/>
          <w:sz w:val="20"/>
          <w:szCs w:val="20"/>
        </w:rPr>
        <w:t> </w:t>
      </w:r>
      <w:r>
        <w:rPr>
          <w:rFonts w:eastAsia="Calibri" w:cstheme="minorHAnsi"/>
          <w:sz w:val="20"/>
          <w:szCs w:val="20"/>
        </w:rPr>
        <w:t xml:space="preserve">průměrných </w:t>
      </w:r>
      <w:r>
        <w:rPr>
          <w:rFonts w:ascii="Calibri" w:hAnsi="Calibri" w:cs="Calibri"/>
          <w:color w:val="000000" w:themeColor="text1"/>
          <w:sz w:val="20"/>
          <w:szCs w:val="20"/>
        </w:rPr>
        <w:t xml:space="preserve">mzdových výdajů vynaložených </w:t>
      </w:r>
      <w:r w:rsidR="00A374D9">
        <w:rPr>
          <w:rFonts w:ascii="Calibri" w:hAnsi="Calibri" w:cs="Calibri"/>
          <w:color w:val="000000" w:themeColor="text1"/>
          <w:sz w:val="20"/>
          <w:szCs w:val="20"/>
        </w:rPr>
        <w:t>na</w:t>
      </w:r>
      <w:r>
        <w:rPr>
          <w:rFonts w:ascii="Calibri" w:hAnsi="Calibri" w:cs="Calibri"/>
          <w:color w:val="000000" w:themeColor="text1"/>
          <w:sz w:val="20"/>
          <w:szCs w:val="20"/>
        </w:rPr>
        <w:t xml:space="preserve"> jednoho zaměstnance MF. Výpočet mzdových výdajů vynaložených GFŘ </w:t>
      </w:r>
      <w:r w:rsidR="00A374D9">
        <w:rPr>
          <w:rFonts w:ascii="Calibri" w:hAnsi="Calibri" w:cs="Calibri"/>
          <w:color w:val="000000" w:themeColor="text1"/>
          <w:sz w:val="20"/>
          <w:szCs w:val="20"/>
        </w:rPr>
        <w:t>na</w:t>
      </w:r>
      <w:r>
        <w:rPr>
          <w:rFonts w:ascii="Calibri" w:hAnsi="Calibri" w:cs="Calibri"/>
          <w:color w:val="000000" w:themeColor="text1"/>
          <w:sz w:val="20"/>
          <w:szCs w:val="20"/>
        </w:rPr>
        <w:t xml:space="preserve"> zaměstnance provádějící činnosti v souvislosti s DAC6 provedl NKÚ na základě kvalifikovaného odhadu časové dotace uvedeného GFŘ a SFÚ a průměrných mzdových výdajů vynaložených </w:t>
      </w:r>
      <w:r w:rsidR="00A374D9">
        <w:rPr>
          <w:rFonts w:ascii="Calibri" w:hAnsi="Calibri" w:cs="Calibri"/>
          <w:color w:val="000000" w:themeColor="text1"/>
          <w:sz w:val="20"/>
          <w:szCs w:val="20"/>
        </w:rPr>
        <w:t>na</w:t>
      </w:r>
      <w:r>
        <w:rPr>
          <w:rFonts w:ascii="Calibri" w:hAnsi="Calibri" w:cs="Calibri"/>
          <w:color w:val="000000" w:themeColor="text1"/>
          <w:sz w:val="20"/>
          <w:szCs w:val="20"/>
        </w:rPr>
        <w:t xml:space="preserve"> jednoho zaměstnance FS ČR vykonávajícího činnosti související se správou DPPO.</w:t>
      </w:r>
    </w:p>
    <w:p w14:paraId="3EC86A16" w14:textId="782E2BA9" w:rsidR="00744321" w:rsidRPr="00AE18E1" w:rsidRDefault="00E06EB2" w:rsidP="00B66659">
      <w:pPr>
        <w:spacing w:before="120" w:after="120"/>
        <w:jc w:val="both"/>
        <w:rPr>
          <w:rFonts w:cstheme="minorHAnsi"/>
          <w:sz w:val="24"/>
          <w:szCs w:val="24"/>
        </w:rPr>
      </w:pPr>
      <w:r w:rsidRPr="00AE18E1">
        <w:rPr>
          <w:rFonts w:cstheme="minorHAnsi"/>
          <w:sz w:val="24"/>
          <w:szCs w:val="24"/>
        </w:rPr>
        <w:t>Součástí dotazníku YA byl požadavek na uvedení nákladů souvisejících s AVI, pokud byly dostupné.</w:t>
      </w:r>
      <w:r w:rsidR="002407BA">
        <w:rPr>
          <w:rFonts w:cstheme="minorHAnsi"/>
          <w:sz w:val="24"/>
          <w:szCs w:val="24"/>
        </w:rPr>
        <w:t xml:space="preserve"> </w:t>
      </w:r>
      <w:r w:rsidR="002407BA" w:rsidRPr="002407BA">
        <w:rPr>
          <w:rFonts w:cstheme="minorHAnsi"/>
          <w:sz w:val="24"/>
          <w:szCs w:val="24"/>
        </w:rPr>
        <w:t>V instrukcích EK k vyplnění dotazníku je uvedeno, že pokud není možné podrobné rozčlenění nákladů, lze vyplnit odhadované celkové náklady</w:t>
      </w:r>
      <w:r w:rsidR="002407BA">
        <w:rPr>
          <w:rFonts w:cstheme="minorHAnsi"/>
          <w:sz w:val="24"/>
          <w:szCs w:val="24"/>
        </w:rPr>
        <w:t>.</w:t>
      </w:r>
      <w:r w:rsidR="00744321" w:rsidRPr="00AE18E1">
        <w:rPr>
          <w:rFonts w:cstheme="minorHAnsi"/>
          <w:sz w:val="24"/>
          <w:szCs w:val="24"/>
        </w:rPr>
        <w:t xml:space="preserve"> </w:t>
      </w:r>
      <w:r w:rsidR="002407BA">
        <w:rPr>
          <w:rFonts w:cstheme="minorHAnsi"/>
          <w:sz w:val="24"/>
          <w:szCs w:val="24"/>
        </w:rPr>
        <w:t xml:space="preserve">NKÚ zjistil, že </w:t>
      </w:r>
      <w:r w:rsidR="00744321" w:rsidRPr="00AE18E1">
        <w:rPr>
          <w:rFonts w:cstheme="minorHAnsi"/>
          <w:sz w:val="24"/>
          <w:szCs w:val="24"/>
        </w:rPr>
        <w:t>GFŘ informace o</w:t>
      </w:r>
      <w:r w:rsidR="002D6AF9">
        <w:rPr>
          <w:rFonts w:cstheme="minorHAnsi"/>
          <w:sz w:val="24"/>
          <w:szCs w:val="24"/>
        </w:rPr>
        <w:t> </w:t>
      </w:r>
      <w:r w:rsidR="00744321" w:rsidRPr="00AE18E1">
        <w:rPr>
          <w:rFonts w:cstheme="minorHAnsi"/>
          <w:sz w:val="24"/>
          <w:szCs w:val="24"/>
        </w:rPr>
        <w:t xml:space="preserve">nákladech souvisejících s implementací jednotlivých druhů AVI v dotaznících YA za roky 2018 až 2022 </w:t>
      </w:r>
      <w:r w:rsidR="00A555DE" w:rsidRPr="00AE18E1">
        <w:rPr>
          <w:rFonts w:cstheme="minorHAnsi"/>
          <w:sz w:val="24"/>
          <w:szCs w:val="24"/>
        </w:rPr>
        <w:t>neuvedlo</w:t>
      </w:r>
      <w:r w:rsidR="00BB723E">
        <w:rPr>
          <w:rFonts w:cstheme="minorHAnsi"/>
          <w:sz w:val="24"/>
          <w:szCs w:val="24"/>
        </w:rPr>
        <w:t xml:space="preserve"> a neuvedlo ani odhadovanou výši těchto nákladů</w:t>
      </w:r>
      <w:r w:rsidR="00744321" w:rsidRPr="00AE18E1">
        <w:rPr>
          <w:rFonts w:cstheme="minorHAnsi"/>
          <w:sz w:val="24"/>
          <w:szCs w:val="24"/>
        </w:rPr>
        <w:t xml:space="preserve">. </w:t>
      </w:r>
    </w:p>
    <w:p w14:paraId="299A90D4" w14:textId="77777777" w:rsidR="00FE12AF" w:rsidRDefault="00744321" w:rsidP="00B66659">
      <w:pPr>
        <w:spacing w:before="120" w:after="120"/>
        <w:jc w:val="both"/>
        <w:rPr>
          <w:rFonts w:cstheme="minorHAnsi"/>
          <w:sz w:val="24"/>
          <w:szCs w:val="24"/>
        </w:rPr>
      </w:pPr>
      <w:r w:rsidRPr="00AE18E1">
        <w:rPr>
          <w:rFonts w:ascii="Calibri" w:eastAsia="Calibri" w:hAnsi="Calibri" w:cs="Arial"/>
          <w:sz w:val="24"/>
          <w:szCs w:val="24"/>
        </w:rPr>
        <w:t xml:space="preserve">V návaznosti na požadavky čl. </w:t>
      </w:r>
      <w:proofErr w:type="gramStart"/>
      <w:r w:rsidRPr="00AE18E1">
        <w:rPr>
          <w:rFonts w:ascii="Calibri" w:eastAsia="Calibri" w:hAnsi="Calibri" w:cs="Arial"/>
          <w:sz w:val="24"/>
          <w:szCs w:val="24"/>
        </w:rPr>
        <w:t>8b</w:t>
      </w:r>
      <w:proofErr w:type="gramEnd"/>
      <w:r w:rsidRPr="00AE18E1">
        <w:rPr>
          <w:rFonts w:ascii="Calibri" w:eastAsia="Calibri" w:hAnsi="Calibri" w:cs="Arial"/>
          <w:sz w:val="24"/>
          <w:szCs w:val="24"/>
        </w:rPr>
        <w:t xml:space="preserve"> směrnice 2011/16</w:t>
      </w:r>
      <w:r w:rsidRPr="00AE18E1">
        <w:rPr>
          <w:rStyle w:val="Znakapoznpodarou"/>
          <w:rFonts w:ascii="Calibri" w:eastAsia="Calibri" w:hAnsi="Calibri" w:cs="Arial"/>
          <w:sz w:val="24"/>
          <w:szCs w:val="24"/>
        </w:rPr>
        <w:footnoteReference w:id="19"/>
      </w:r>
      <w:r w:rsidRPr="00AE18E1">
        <w:rPr>
          <w:rFonts w:ascii="Calibri" w:eastAsia="Calibri" w:hAnsi="Calibri" w:cs="Arial"/>
          <w:sz w:val="24"/>
          <w:szCs w:val="24"/>
        </w:rPr>
        <w:t xml:space="preserve"> došlo z</w:t>
      </w:r>
      <w:r w:rsidR="00510F55" w:rsidRPr="00AE18E1">
        <w:rPr>
          <w:rFonts w:ascii="Calibri" w:eastAsia="Calibri" w:hAnsi="Calibri" w:cs="Arial"/>
          <w:sz w:val="24"/>
          <w:szCs w:val="24"/>
        </w:rPr>
        <w:t>ákonem č. 373/2022 Sb.</w:t>
      </w:r>
      <w:r w:rsidR="00510F55" w:rsidRPr="00AE18E1">
        <w:rPr>
          <w:rStyle w:val="Znakapoznpodarou"/>
          <w:rFonts w:ascii="Calibri" w:eastAsia="Calibri" w:hAnsi="Calibri" w:cs="Arial"/>
          <w:sz w:val="24"/>
          <w:szCs w:val="24"/>
        </w:rPr>
        <w:footnoteReference w:id="20"/>
      </w:r>
      <w:r w:rsidR="00510F55" w:rsidRPr="00AE18E1">
        <w:rPr>
          <w:rFonts w:ascii="Calibri" w:eastAsia="Calibri" w:hAnsi="Calibri" w:cs="Arial"/>
          <w:sz w:val="24"/>
          <w:szCs w:val="24"/>
        </w:rPr>
        <w:t xml:space="preserve"> ke změně ustanovení § 12c odst. 2 </w:t>
      </w:r>
      <w:r w:rsidR="00510F55" w:rsidRPr="00AE18E1">
        <w:rPr>
          <w:rFonts w:cstheme="minorHAnsi"/>
          <w:sz w:val="24"/>
          <w:szCs w:val="24"/>
          <w:lang w:eastAsia="cs-CZ"/>
        </w:rPr>
        <w:t>zákona č. 164/2013 Sb</w:t>
      </w:r>
      <w:r w:rsidR="00510F55" w:rsidRPr="00AE18E1">
        <w:rPr>
          <w:rFonts w:ascii="Calibri" w:eastAsia="Calibri" w:hAnsi="Calibri" w:cs="Arial"/>
          <w:sz w:val="24"/>
          <w:szCs w:val="24"/>
        </w:rPr>
        <w:t xml:space="preserve">. </w:t>
      </w:r>
      <w:r w:rsidRPr="00AE18E1">
        <w:rPr>
          <w:rFonts w:ascii="Calibri" w:eastAsia="Calibri" w:hAnsi="Calibri" w:cs="Arial"/>
          <w:sz w:val="24"/>
          <w:szCs w:val="24"/>
        </w:rPr>
        <w:t xml:space="preserve">s účinností od 1. 1. 2023. Ústřednímu kontaktnímu orgánu </w:t>
      </w:r>
      <w:r w:rsidR="00510F55" w:rsidRPr="00AE18E1">
        <w:rPr>
          <w:rFonts w:ascii="Calibri" w:eastAsia="Calibri" w:hAnsi="Calibri" w:cs="Arial"/>
          <w:sz w:val="24"/>
          <w:szCs w:val="24"/>
        </w:rPr>
        <w:t>byla</w:t>
      </w:r>
      <w:r w:rsidRPr="00AE18E1">
        <w:rPr>
          <w:rFonts w:ascii="Calibri" w:eastAsia="Calibri" w:hAnsi="Calibri" w:cs="Arial"/>
          <w:sz w:val="24"/>
          <w:szCs w:val="24"/>
        </w:rPr>
        <w:t xml:space="preserve"> </w:t>
      </w:r>
      <w:r w:rsidR="00146FBF" w:rsidRPr="00AE18E1">
        <w:rPr>
          <w:rFonts w:cstheme="minorHAnsi"/>
          <w:sz w:val="24"/>
          <w:szCs w:val="24"/>
        </w:rPr>
        <w:t xml:space="preserve">zavedena povinnost shromažďovat informace o nákladech, přínosech a změnách souvisejících s AVI a poskytovat tyto údaje každoročně EK. </w:t>
      </w:r>
    </w:p>
    <w:p w14:paraId="29B2EFC1" w14:textId="2BE8715E" w:rsidR="00BB723E" w:rsidRDefault="00FB0A65" w:rsidP="00524EC1">
      <w:pPr>
        <w:spacing w:before="120" w:after="240"/>
        <w:jc w:val="both"/>
        <w:rPr>
          <w:rFonts w:cstheme="minorHAnsi"/>
          <w:sz w:val="24"/>
          <w:szCs w:val="24"/>
        </w:rPr>
      </w:pPr>
      <w:r w:rsidRPr="00AE18E1">
        <w:rPr>
          <w:rFonts w:cstheme="minorHAnsi"/>
          <w:sz w:val="24"/>
          <w:szCs w:val="24"/>
        </w:rPr>
        <w:t xml:space="preserve">NKÚ zjistil, že GFŘ postupovalo v rozporu s ustanovením § 12c zákona č. 164/2013 Sb. tím, že neposkytlo EK </w:t>
      </w:r>
      <w:r w:rsidR="00D21565">
        <w:rPr>
          <w:rFonts w:cstheme="minorHAnsi"/>
          <w:sz w:val="24"/>
          <w:szCs w:val="24"/>
        </w:rPr>
        <w:t xml:space="preserve">v odeslaném dotazníku YA </w:t>
      </w:r>
      <w:r w:rsidR="002B3F87">
        <w:rPr>
          <w:rFonts w:cstheme="minorHAnsi"/>
          <w:sz w:val="24"/>
          <w:szCs w:val="24"/>
        </w:rPr>
        <w:t>za rok</w:t>
      </w:r>
      <w:r w:rsidRPr="00AE18E1">
        <w:rPr>
          <w:rFonts w:cstheme="minorHAnsi"/>
          <w:sz w:val="24"/>
          <w:szCs w:val="24"/>
        </w:rPr>
        <w:t xml:space="preserve"> 2023 informace o</w:t>
      </w:r>
      <w:r w:rsidR="00BB723E">
        <w:rPr>
          <w:rFonts w:cstheme="minorHAnsi"/>
          <w:sz w:val="24"/>
          <w:szCs w:val="24"/>
        </w:rPr>
        <w:t xml:space="preserve"> celkové výši</w:t>
      </w:r>
      <w:r w:rsidRPr="00AE18E1">
        <w:rPr>
          <w:rFonts w:cstheme="minorHAnsi"/>
          <w:sz w:val="24"/>
          <w:szCs w:val="24"/>
        </w:rPr>
        <w:t xml:space="preserve"> administrativníc</w:t>
      </w:r>
      <w:r w:rsidR="00BB723E">
        <w:rPr>
          <w:rFonts w:cstheme="minorHAnsi"/>
          <w:sz w:val="24"/>
          <w:szCs w:val="24"/>
        </w:rPr>
        <w:t>h</w:t>
      </w:r>
      <w:r w:rsidRPr="00AE18E1">
        <w:rPr>
          <w:rFonts w:cstheme="minorHAnsi"/>
          <w:sz w:val="24"/>
          <w:szCs w:val="24"/>
        </w:rPr>
        <w:t xml:space="preserve"> náklad</w:t>
      </w:r>
      <w:r w:rsidR="00BB723E">
        <w:rPr>
          <w:rFonts w:cstheme="minorHAnsi"/>
          <w:sz w:val="24"/>
          <w:szCs w:val="24"/>
        </w:rPr>
        <w:t>ů</w:t>
      </w:r>
      <w:r w:rsidRPr="00AE18E1">
        <w:rPr>
          <w:rFonts w:cstheme="minorHAnsi"/>
          <w:sz w:val="24"/>
          <w:szCs w:val="24"/>
        </w:rPr>
        <w:t xml:space="preserve"> vynaložených </w:t>
      </w:r>
      <w:r w:rsidR="00BB723E">
        <w:rPr>
          <w:rFonts w:cstheme="minorHAnsi"/>
          <w:sz w:val="24"/>
          <w:szCs w:val="24"/>
        </w:rPr>
        <w:t xml:space="preserve">v roce 2023 v souvislosti s AVI. NKÚ zjistil, že GFŘ v letech 2018 až 2020 </w:t>
      </w:r>
      <w:r w:rsidR="008320CE">
        <w:rPr>
          <w:rFonts w:cstheme="minorHAnsi"/>
          <w:sz w:val="24"/>
          <w:szCs w:val="24"/>
        </w:rPr>
        <w:t>uvedlo v dotaznících YA</w:t>
      </w:r>
      <w:r w:rsidR="00BB723E">
        <w:rPr>
          <w:rFonts w:cstheme="minorHAnsi"/>
          <w:sz w:val="24"/>
          <w:szCs w:val="24"/>
        </w:rPr>
        <w:t xml:space="preserve"> roční servisní poplatek informačního systému ve výši 20 000 </w:t>
      </w:r>
      <w:r w:rsidR="00156899">
        <w:rPr>
          <w:rFonts w:cstheme="minorHAnsi"/>
          <w:sz w:val="24"/>
          <w:szCs w:val="24"/>
        </w:rPr>
        <w:t>€</w:t>
      </w:r>
      <w:r w:rsidR="00BB723E">
        <w:rPr>
          <w:rFonts w:cstheme="minorHAnsi"/>
          <w:sz w:val="24"/>
          <w:szCs w:val="24"/>
        </w:rPr>
        <w:t xml:space="preserve">, v roce 2023 tento poplatek do dotazníku neuvedlo. </w:t>
      </w:r>
      <w:r w:rsidR="00156899">
        <w:rPr>
          <w:rFonts w:cstheme="minorHAnsi"/>
          <w:sz w:val="24"/>
          <w:szCs w:val="24"/>
        </w:rPr>
        <w:t>Rovněž</w:t>
      </w:r>
      <w:r w:rsidR="00BB723E">
        <w:rPr>
          <w:rFonts w:cstheme="minorHAnsi"/>
          <w:sz w:val="24"/>
          <w:szCs w:val="24"/>
        </w:rPr>
        <w:t xml:space="preserve"> neuvedlo náklady na údržbu a provoz informačních systémů a personální náklady související s mezinárodní výměnou informací, a to ani na odhadované úrovni. </w:t>
      </w:r>
    </w:p>
    <w:p w14:paraId="50A497AE" w14:textId="66A8330A" w:rsidR="00E72039" w:rsidRPr="00E05701" w:rsidRDefault="000B2306" w:rsidP="00777F26">
      <w:pPr>
        <w:keepNext/>
        <w:spacing w:before="240" w:after="120"/>
        <w:jc w:val="both"/>
        <w:rPr>
          <w:b/>
          <w:sz w:val="24"/>
          <w:szCs w:val="24"/>
        </w:rPr>
      </w:pPr>
      <w:r>
        <w:rPr>
          <w:rFonts w:eastAsia="Calibri" w:cstheme="minorHAnsi"/>
          <w:b/>
          <w:sz w:val="24"/>
          <w:szCs w:val="24"/>
        </w:rPr>
        <w:t>5</w:t>
      </w:r>
      <w:r w:rsidR="00E05701">
        <w:rPr>
          <w:rFonts w:eastAsia="Calibri" w:cstheme="minorHAnsi"/>
          <w:b/>
          <w:sz w:val="24"/>
          <w:szCs w:val="24"/>
        </w:rPr>
        <w:t xml:space="preserve">. </w:t>
      </w:r>
      <w:r w:rsidR="00C01B9F">
        <w:rPr>
          <w:rFonts w:eastAsia="Calibri" w:cstheme="minorHAnsi"/>
          <w:b/>
          <w:sz w:val="24"/>
          <w:szCs w:val="24"/>
        </w:rPr>
        <w:t>Nedostatky zjištěné v oblasti elektronizace správy daní</w:t>
      </w:r>
    </w:p>
    <w:p w14:paraId="555BBC83" w14:textId="155A1CBF" w:rsidR="00E72039" w:rsidRPr="00CC7360" w:rsidRDefault="00CC7360" w:rsidP="00AC24F3">
      <w:pPr>
        <w:pStyle w:val="Odstavecseseznamem"/>
        <w:keepNext/>
        <w:numPr>
          <w:ilvl w:val="1"/>
          <w:numId w:val="42"/>
        </w:numPr>
        <w:spacing w:before="120" w:after="120"/>
        <w:ind w:left="426" w:hanging="426"/>
        <w:contextualSpacing w:val="0"/>
        <w:jc w:val="both"/>
        <w:rPr>
          <w:b/>
          <w:sz w:val="24"/>
          <w:szCs w:val="24"/>
        </w:rPr>
      </w:pPr>
      <w:r w:rsidRPr="00CC7360">
        <w:rPr>
          <w:rFonts w:cstheme="minorHAnsi"/>
          <w:b/>
          <w:sz w:val="24"/>
          <w:szCs w:val="24"/>
        </w:rPr>
        <w:t xml:space="preserve">GFŘ do doby ukončení kontroly nenaplnilo jeden ze strategických cílů rozvoje </w:t>
      </w:r>
      <w:r w:rsidRPr="00CC7360">
        <w:rPr>
          <w:b/>
          <w:sz w:val="24"/>
          <w:szCs w:val="24"/>
        </w:rPr>
        <w:t xml:space="preserve">FS ČR ohledně plně elektronického spisu </w:t>
      </w:r>
    </w:p>
    <w:p w14:paraId="49ED84EB" w14:textId="77777777" w:rsidR="00E72039" w:rsidRDefault="00E72039" w:rsidP="00A3736E">
      <w:pPr>
        <w:spacing w:before="120" w:after="0"/>
        <w:jc w:val="both"/>
        <w:rPr>
          <w:sz w:val="24"/>
          <w:szCs w:val="24"/>
        </w:rPr>
      </w:pPr>
      <w:r w:rsidRPr="00B810DB">
        <w:rPr>
          <w:sz w:val="24"/>
          <w:szCs w:val="24"/>
        </w:rPr>
        <w:t>Veškeré dokumenty, tj. jak</w:t>
      </w:r>
      <w:r w:rsidR="005C2BD7">
        <w:rPr>
          <w:sz w:val="24"/>
          <w:szCs w:val="24"/>
        </w:rPr>
        <w:t xml:space="preserve"> </w:t>
      </w:r>
      <w:r w:rsidR="00916FB1">
        <w:rPr>
          <w:sz w:val="24"/>
          <w:szCs w:val="24"/>
        </w:rPr>
        <w:t>listinné</w:t>
      </w:r>
      <w:r w:rsidRPr="00B810DB">
        <w:rPr>
          <w:sz w:val="24"/>
          <w:szCs w:val="24"/>
        </w:rPr>
        <w:t>, tak elektronické</w:t>
      </w:r>
      <w:r>
        <w:rPr>
          <w:sz w:val="24"/>
          <w:szCs w:val="24"/>
        </w:rPr>
        <w:t>,</w:t>
      </w:r>
      <w:r w:rsidRPr="00B810DB">
        <w:rPr>
          <w:sz w:val="24"/>
          <w:szCs w:val="24"/>
        </w:rPr>
        <w:t xml:space="preserve"> jsou evidovány v</w:t>
      </w:r>
      <w:r w:rsidR="009C65A6">
        <w:rPr>
          <w:sz w:val="24"/>
          <w:szCs w:val="24"/>
        </w:rPr>
        <w:t> </w:t>
      </w:r>
      <w:r w:rsidRPr="00B810DB">
        <w:rPr>
          <w:sz w:val="24"/>
          <w:szCs w:val="24"/>
        </w:rPr>
        <w:t xml:space="preserve">elektronických systémech spisové služby FS ČR. </w:t>
      </w:r>
      <w:r w:rsidR="00657933">
        <w:rPr>
          <w:sz w:val="24"/>
          <w:szCs w:val="24"/>
        </w:rPr>
        <w:t>U</w:t>
      </w:r>
      <w:r w:rsidRPr="00B810DB">
        <w:rPr>
          <w:sz w:val="24"/>
          <w:szCs w:val="24"/>
        </w:rPr>
        <w:t xml:space="preserve"> </w:t>
      </w:r>
      <w:r w:rsidR="008F2330">
        <w:rPr>
          <w:sz w:val="24"/>
          <w:szCs w:val="24"/>
        </w:rPr>
        <w:t>listinných</w:t>
      </w:r>
      <w:r w:rsidRPr="00B810DB">
        <w:rPr>
          <w:sz w:val="24"/>
          <w:szCs w:val="24"/>
        </w:rPr>
        <w:t xml:space="preserve"> písemností, je-li to účelné, dochází při jejich zaevidování k převodu z </w:t>
      </w:r>
      <w:r>
        <w:rPr>
          <w:sz w:val="24"/>
          <w:szCs w:val="24"/>
        </w:rPr>
        <w:t>listinné</w:t>
      </w:r>
      <w:r w:rsidRPr="00B810DB">
        <w:rPr>
          <w:sz w:val="24"/>
          <w:szCs w:val="24"/>
        </w:rPr>
        <w:t xml:space="preserve"> do elektronické podoby</w:t>
      </w:r>
      <w:r w:rsidR="009A7C10">
        <w:rPr>
          <w:rStyle w:val="Znakapoznpodarou"/>
          <w:sz w:val="24"/>
          <w:szCs w:val="24"/>
        </w:rPr>
        <w:footnoteReference w:id="21"/>
      </w:r>
      <w:r>
        <w:rPr>
          <w:sz w:val="24"/>
          <w:szCs w:val="24"/>
        </w:rPr>
        <w:t>.</w:t>
      </w:r>
      <w:r w:rsidR="00CA7D12">
        <w:rPr>
          <w:sz w:val="24"/>
          <w:szCs w:val="24"/>
        </w:rPr>
        <w:t xml:space="preserve"> </w:t>
      </w:r>
      <w:r>
        <w:rPr>
          <w:sz w:val="24"/>
          <w:szCs w:val="24"/>
        </w:rPr>
        <w:t xml:space="preserve">V případě </w:t>
      </w:r>
      <w:r w:rsidR="00047D98">
        <w:rPr>
          <w:sz w:val="24"/>
          <w:szCs w:val="24"/>
        </w:rPr>
        <w:t xml:space="preserve">postoupení </w:t>
      </w:r>
      <w:r>
        <w:rPr>
          <w:sz w:val="24"/>
          <w:szCs w:val="24"/>
        </w:rPr>
        <w:t>spisové dokumentace</w:t>
      </w:r>
      <w:r w:rsidR="00047D98">
        <w:rPr>
          <w:sz w:val="24"/>
          <w:szCs w:val="24"/>
        </w:rPr>
        <w:t xml:space="preserve"> při změně místní příslušnosti</w:t>
      </w:r>
      <w:r w:rsidR="0088513A">
        <w:rPr>
          <w:sz w:val="24"/>
          <w:szCs w:val="24"/>
        </w:rPr>
        <w:t xml:space="preserve"> </w:t>
      </w:r>
      <w:r w:rsidR="00F8443F">
        <w:rPr>
          <w:sz w:val="24"/>
          <w:szCs w:val="24"/>
        </w:rPr>
        <w:t xml:space="preserve">mezi </w:t>
      </w:r>
      <w:r w:rsidR="0088513A">
        <w:rPr>
          <w:sz w:val="24"/>
          <w:szCs w:val="24"/>
        </w:rPr>
        <w:t>FÚ</w:t>
      </w:r>
      <w:r w:rsidR="00047D98">
        <w:rPr>
          <w:sz w:val="24"/>
          <w:szCs w:val="24"/>
        </w:rPr>
        <w:t>, změně umístění spisu</w:t>
      </w:r>
      <w:r w:rsidR="0088513A">
        <w:rPr>
          <w:sz w:val="24"/>
          <w:szCs w:val="24"/>
        </w:rPr>
        <w:t xml:space="preserve"> </w:t>
      </w:r>
      <w:r w:rsidR="002E49C7">
        <w:rPr>
          <w:sz w:val="24"/>
          <w:szCs w:val="24"/>
        </w:rPr>
        <w:t xml:space="preserve">mezi územními pracovišti </w:t>
      </w:r>
      <w:r w:rsidR="00047D98">
        <w:rPr>
          <w:sz w:val="24"/>
          <w:szCs w:val="24"/>
        </w:rPr>
        <w:t>nebo po provedení vybrané působnosti</w:t>
      </w:r>
      <w:r w:rsidR="004F59C7">
        <w:rPr>
          <w:rStyle w:val="Znakapoznpodarou"/>
          <w:sz w:val="24"/>
          <w:szCs w:val="24"/>
        </w:rPr>
        <w:footnoteReference w:id="22"/>
      </w:r>
      <w:r w:rsidR="0088513A">
        <w:rPr>
          <w:sz w:val="24"/>
          <w:szCs w:val="24"/>
        </w:rPr>
        <w:t xml:space="preserve"> </w:t>
      </w:r>
      <w:r>
        <w:rPr>
          <w:sz w:val="24"/>
          <w:szCs w:val="24"/>
        </w:rPr>
        <w:t>správce daně</w:t>
      </w:r>
      <w:r w:rsidR="00AA36CB">
        <w:rPr>
          <w:sz w:val="24"/>
          <w:szCs w:val="24"/>
        </w:rPr>
        <w:t xml:space="preserve"> přemístí </w:t>
      </w:r>
      <w:r>
        <w:rPr>
          <w:sz w:val="24"/>
          <w:szCs w:val="24"/>
        </w:rPr>
        <w:t>relevantní části spisu, kdy:</w:t>
      </w:r>
    </w:p>
    <w:p w14:paraId="38110CA1" w14:textId="77777777" w:rsidR="00E72039" w:rsidRPr="00F25656" w:rsidRDefault="00E72039" w:rsidP="00AC24F3">
      <w:pPr>
        <w:numPr>
          <w:ilvl w:val="0"/>
          <w:numId w:val="35"/>
        </w:numPr>
        <w:spacing w:before="120" w:after="120"/>
        <w:ind w:left="284" w:hanging="284"/>
        <w:contextualSpacing/>
        <w:jc w:val="both"/>
        <w:rPr>
          <w:rFonts w:cstheme="minorHAnsi"/>
          <w:sz w:val="24"/>
          <w:szCs w:val="24"/>
        </w:rPr>
      </w:pPr>
      <w:r w:rsidRPr="00F25656">
        <w:rPr>
          <w:rFonts w:cstheme="minorHAnsi"/>
          <w:sz w:val="24"/>
          <w:szCs w:val="24"/>
        </w:rPr>
        <w:t>elektronické části spisu (včetně dat) jsou v elektronické podobě předány mezi databázemi dotčených FÚ prostřednictvím interního komunikačního kanálu určenému k přenosu dat;</w:t>
      </w:r>
    </w:p>
    <w:p w14:paraId="011E4D7D" w14:textId="54C585B7" w:rsidR="00E72039" w:rsidRDefault="000F41E0" w:rsidP="00AC24F3">
      <w:pPr>
        <w:numPr>
          <w:ilvl w:val="0"/>
          <w:numId w:val="35"/>
        </w:numPr>
        <w:spacing w:before="120" w:after="120"/>
        <w:ind w:left="284" w:hanging="284"/>
        <w:jc w:val="both"/>
        <w:rPr>
          <w:rFonts w:cstheme="minorHAnsi"/>
          <w:sz w:val="24"/>
          <w:szCs w:val="24"/>
        </w:rPr>
      </w:pPr>
      <w:r>
        <w:rPr>
          <w:rFonts w:cstheme="minorHAnsi"/>
          <w:sz w:val="24"/>
          <w:szCs w:val="24"/>
        </w:rPr>
        <w:t>listinné</w:t>
      </w:r>
      <w:r w:rsidR="00E72039" w:rsidRPr="00F25656">
        <w:rPr>
          <w:rFonts w:cstheme="minorHAnsi"/>
          <w:sz w:val="24"/>
          <w:szCs w:val="24"/>
        </w:rPr>
        <w:t xml:space="preserve"> části spisu jsou </w:t>
      </w:r>
      <w:r w:rsidR="00257322">
        <w:rPr>
          <w:rFonts w:cstheme="minorHAnsi"/>
          <w:sz w:val="24"/>
          <w:szCs w:val="24"/>
        </w:rPr>
        <w:t>fyzicky</w:t>
      </w:r>
      <w:r w:rsidR="00E72039" w:rsidRPr="00F25656">
        <w:rPr>
          <w:rFonts w:cstheme="minorHAnsi"/>
          <w:sz w:val="24"/>
          <w:szCs w:val="24"/>
        </w:rPr>
        <w:t xml:space="preserve"> předány </w:t>
      </w:r>
      <w:r w:rsidR="004F2CDC">
        <w:rPr>
          <w:rFonts w:cstheme="minorHAnsi"/>
          <w:sz w:val="24"/>
          <w:szCs w:val="24"/>
        </w:rPr>
        <w:t>příslušnému správci daně</w:t>
      </w:r>
      <w:r w:rsidR="00E72039" w:rsidRPr="00F25656">
        <w:rPr>
          <w:rFonts w:cstheme="minorHAnsi"/>
          <w:sz w:val="24"/>
          <w:szCs w:val="24"/>
        </w:rPr>
        <w:t>, tj. buď prostřednictvím interního kurýra (pravidelné interní rozvozy dokumentů) nebo prostřednictvím provozovatele poštovních služeb.</w:t>
      </w:r>
      <w:r w:rsidR="00E72039">
        <w:rPr>
          <w:rFonts w:cstheme="minorHAnsi"/>
          <w:sz w:val="24"/>
          <w:szCs w:val="24"/>
        </w:rPr>
        <w:t xml:space="preserve"> Důvodem fyzického předání těchto</w:t>
      </w:r>
      <w:r w:rsidR="00955A43">
        <w:rPr>
          <w:rFonts w:cstheme="minorHAnsi"/>
          <w:sz w:val="24"/>
          <w:szCs w:val="24"/>
        </w:rPr>
        <w:t xml:space="preserve"> </w:t>
      </w:r>
      <w:r w:rsidR="00E72039">
        <w:rPr>
          <w:rFonts w:cstheme="minorHAnsi"/>
          <w:sz w:val="24"/>
          <w:szCs w:val="24"/>
        </w:rPr>
        <w:t xml:space="preserve">dokumentů je, že </w:t>
      </w:r>
      <w:r w:rsidR="008271B0">
        <w:rPr>
          <w:rFonts w:cstheme="minorHAnsi"/>
          <w:sz w:val="24"/>
          <w:szCs w:val="24"/>
        </w:rPr>
        <w:t xml:space="preserve">evidence písemností v </w:t>
      </w:r>
      <w:r w:rsidR="00E72039">
        <w:rPr>
          <w:rFonts w:cstheme="minorHAnsi"/>
          <w:sz w:val="24"/>
          <w:szCs w:val="24"/>
        </w:rPr>
        <w:t xml:space="preserve">ADIS nedisponuje </w:t>
      </w:r>
      <w:r w:rsidR="004F59C7">
        <w:rPr>
          <w:rFonts w:cstheme="minorHAnsi"/>
          <w:sz w:val="24"/>
          <w:szCs w:val="24"/>
        </w:rPr>
        <w:t>funkc</w:t>
      </w:r>
      <w:r w:rsidR="00156899">
        <w:rPr>
          <w:rFonts w:cstheme="minorHAnsi"/>
          <w:sz w:val="24"/>
          <w:szCs w:val="24"/>
        </w:rPr>
        <w:t>í</w:t>
      </w:r>
      <w:r w:rsidR="004F59C7">
        <w:rPr>
          <w:rFonts w:cstheme="minorHAnsi"/>
          <w:sz w:val="24"/>
          <w:szCs w:val="24"/>
        </w:rPr>
        <w:t xml:space="preserve"> </w:t>
      </w:r>
      <w:r w:rsidR="00E72039">
        <w:rPr>
          <w:rFonts w:cstheme="minorHAnsi"/>
          <w:sz w:val="24"/>
          <w:szCs w:val="24"/>
        </w:rPr>
        <w:t>pro provedení autorizované konverze dokumentů</w:t>
      </w:r>
      <w:r w:rsidR="00047D98">
        <w:rPr>
          <w:rFonts w:cstheme="minorHAnsi"/>
          <w:sz w:val="24"/>
          <w:szCs w:val="24"/>
        </w:rPr>
        <w:t xml:space="preserve"> </w:t>
      </w:r>
      <w:r w:rsidR="00047D98" w:rsidRPr="00047D98">
        <w:rPr>
          <w:rFonts w:cstheme="minorHAnsi"/>
          <w:sz w:val="24"/>
          <w:szCs w:val="24"/>
        </w:rPr>
        <w:t>podle zákona č. 300/2008 Sb</w:t>
      </w:r>
      <w:r w:rsidR="00E72039">
        <w:rPr>
          <w:rFonts w:cstheme="minorHAnsi"/>
          <w:sz w:val="24"/>
          <w:szCs w:val="24"/>
        </w:rPr>
        <w:t>.</w:t>
      </w:r>
      <w:r w:rsidR="00D86ED6" w:rsidRPr="00D86ED6">
        <w:rPr>
          <w:sz w:val="24"/>
          <w:szCs w:val="24"/>
        </w:rPr>
        <w:t xml:space="preserve"> </w:t>
      </w:r>
      <w:r w:rsidR="00D86ED6">
        <w:rPr>
          <w:sz w:val="24"/>
          <w:szCs w:val="24"/>
        </w:rPr>
        <w:t>D</w:t>
      </w:r>
      <w:r w:rsidR="00D86ED6" w:rsidRPr="00E70F2D">
        <w:rPr>
          <w:sz w:val="24"/>
          <w:szCs w:val="24"/>
        </w:rPr>
        <w:t xml:space="preserve">osud není znám termín spuštění </w:t>
      </w:r>
      <w:r w:rsidR="00D86ED6">
        <w:rPr>
          <w:sz w:val="24"/>
          <w:szCs w:val="24"/>
        </w:rPr>
        <w:t>nového informačního systému, který bude autorizovanou konverzi dokumentů umožňovat.</w:t>
      </w:r>
    </w:p>
    <w:p w14:paraId="028F7574" w14:textId="77777777" w:rsidR="0037656B" w:rsidRPr="00AC24F3" w:rsidRDefault="00AA36CB" w:rsidP="00BC7C63">
      <w:pPr>
        <w:spacing w:before="120" w:after="120"/>
        <w:jc w:val="both"/>
        <w:rPr>
          <w:rFonts w:ascii="Calibri" w:hAnsi="Calibri"/>
          <w:color w:val="000000" w:themeColor="text1"/>
          <w:sz w:val="24"/>
          <w:szCs w:val="24"/>
        </w:rPr>
      </w:pPr>
      <w:r w:rsidRPr="00AC24F3">
        <w:rPr>
          <w:rFonts w:ascii="Calibri" w:hAnsi="Calibri" w:cstheme="minorHAnsi"/>
          <w:color w:val="000000" w:themeColor="text1"/>
          <w:sz w:val="24"/>
          <w:szCs w:val="24"/>
        </w:rPr>
        <w:t xml:space="preserve">NKÚ pro výpočet mzdových výdajů vynaložených v souvislosti s postoupením spisové dokumentace </w:t>
      </w:r>
      <w:r w:rsidRPr="00AC24F3">
        <w:rPr>
          <w:rFonts w:ascii="Calibri" w:hAnsi="Calibri"/>
          <w:color w:val="000000" w:themeColor="text1"/>
          <w:sz w:val="24"/>
          <w:szCs w:val="24"/>
        </w:rPr>
        <w:t xml:space="preserve">při změně místní příslušnosti </w:t>
      </w:r>
      <w:r w:rsidR="00D32ECD" w:rsidRPr="00AC24F3">
        <w:rPr>
          <w:rFonts w:ascii="Calibri" w:hAnsi="Calibri"/>
          <w:color w:val="000000" w:themeColor="text1"/>
          <w:sz w:val="24"/>
          <w:szCs w:val="24"/>
        </w:rPr>
        <w:t xml:space="preserve">nebo </w:t>
      </w:r>
      <w:r w:rsidRPr="00AC24F3">
        <w:rPr>
          <w:rFonts w:ascii="Calibri" w:hAnsi="Calibri"/>
          <w:color w:val="000000" w:themeColor="text1"/>
          <w:sz w:val="24"/>
          <w:szCs w:val="24"/>
        </w:rPr>
        <w:t xml:space="preserve">změně umístění spisu použil průměrnou časovou dotaci potřebnou </w:t>
      </w:r>
      <w:r w:rsidRPr="00AC24F3">
        <w:rPr>
          <w:rFonts w:ascii="Calibri" w:hAnsi="Calibri" w:cstheme="minorHAnsi"/>
          <w:color w:val="000000" w:themeColor="text1"/>
          <w:sz w:val="24"/>
          <w:szCs w:val="24"/>
        </w:rPr>
        <w:t xml:space="preserve">pro přemístění </w:t>
      </w:r>
      <w:r w:rsidR="00043497" w:rsidRPr="00AC24F3">
        <w:rPr>
          <w:rFonts w:ascii="Calibri" w:hAnsi="Calibri" w:cstheme="minorHAnsi"/>
          <w:color w:val="000000" w:themeColor="text1"/>
          <w:sz w:val="24"/>
          <w:szCs w:val="24"/>
        </w:rPr>
        <w:t>listinné</w:t>
      </w:r>
      <w:r w:rsidRPr="00AC24F3">
        <w:rPr>
          <w:rFonts w:ascii="Calibri" w:hAnsi="Calibri" w:cstheme="minorHAnsi"/>
          <w:color w:val="000000" w:themeColor="text1"/>
          <w:sz w:val="24"/>
          <w:szCs w:val="24"/>
        </w:rPr>
        <w:t xml:space="preserve"> části spisu. Průměr časové dotace </w:t>
      </w:r>
      <w:r w:rsidR="00882635" w:rsidRPr="00AC24F3">
        <w:rPr>
          <w:rFonts w:ascii="Calibri" w:hAnsi="Calibri" w:cstheme="minorHAnsi"/>
          <w:color w:val="000000" w:themeColor="text1"/>
          <w:sz w:val="24"/>
          <w:szCs w:val="24"/>
        </w:rPr>
        <w:t>stanovil z</w:t>
      </w:r>
      <w:r w:rsidRPr="00AC24F3">
        <w:rPr>
          <w:rFonts w:ascii="Calibri" w:hAnsi="Calibri" w:cstheme="minorHAnsi"/>
          <w:color w:val="000000" w:themeColor="text1"/>
          <w:sz w:val="24"/>
          <w:szCs w:val="24"/>
        </w:rPr>
        <w:t> hodnot uvedených GFŘ a FÚ pro Jihomoravský kraj.</w:t>
      </w:r>
      <w:r w:rsidR="00D32ECD" w:rsidRPr="00AC24F3">
        <w:rPr>
          <w:rFonts w:ascii="Calibri" w:hAnsi="Calibri"/>
          <w:color w:val="000000" w:themeColor="text1"/>
          <w:sz w:val="24"/>
          <w:szCs w:val="24"/>
        </w:rPr>
        <w:t xml:space="preserve"> </w:t>
      </w:r>
      <w:r w:rsidR="009B2C85" w:rsidRPr="00AC24F3">
        <w:rPr>
          <w:rFonts w:ascii="Calibri" w:hAnsi="Calibri"/>
          <w:color w:val="000000" w:themeColor="text1"/>
          <w:sz w:val="24"/>
          <w:szCs w:val="24"/>
        </w:rPr>
        <w:t xml:space="preserve">Dále použil informace poskytnuté GFŘ </w:t>
      </w:r>
      <w:r w:rsidR="00D32ECD" w:rsidRPr="00AC24F3">
        <w:rPr>
          <w:rFonts w:ascii="Calibri" w:hAnsi="Calibri" w:cstheme="minorHAnsi"/>
          <w:color w:val="000000" w:themeColor="text1"/>
          <w:sz w:val="24"/>
          <w:szCs w:val="24"/>
        </w:rPr>
        <w:t>v souvislosti s postoupením spisové dokumentace</w:t>
      </w:r>
      <w:r w:rsidR="00D32ECD" w:rsidRPr="00AC24F3">
        <w:rPr>
          <w:rFonts w:ascii="Calibri" w:hAnsi="Calibri"/>
          <w:color w:val="000000" w:themeColor="text1"/>
          <w:sz w:val="24"/>
          <w:szCs w:val="24"/>
        </w:rPr>
        <w:t xml:space="preserve"> </w:t>
      </w:r>
      <w:r w:rsidR="00864B4A" w:rsidRPr="00AC24F3">
        <w:rPr>
          <w:rFonts w:ascii="Calibri" w:hAnsi="Calibri"/>
          <w:color w:val="000000" w:themeColor="text1"/>
          <w:sz w:val="24"/>
          <w:szCs w:val="24"/>
        </w:rPr>
        <w:t xml:space="preserve">po </w:t>
      </w:r>
      <w:r w:rsidR="00D32ECD" w:rsidRPr="00AC24F3">
        <w:rPr>
          <w:rFonts w:ascii="Calibri" w:hAnsi="Calibri"/>
          <w:color w:val="000000" w:themeColor="text1"/>
          <w:sz w:val="24"/>
          <w:szCs w:val="24"/>
        </w:rPr>
        <w:t>provedení vybrané působnosti</w:t>
      </w:r>
      <w:r w:rsidR="009B2C85" w:rsidRPr="00AC24F3">
        <w:rPr>
          <w:rFonts w:ascii="Calibri" w:hAnsi="Calibri"/>
          <w:color w:val="000000" w:themeColor="text1"/>
          <w:sz w:val="24"/>
          <w:szCs w:val="24"/>
        </w:rPr>
        <w:t xml:space="preserve">. </w:t>
      </w:r>
    </w:p>
    <w:p w14:paraId="5A58A6FB" w14:textId="38A797FF" w:rsidR="00281ADB" w:rsidRDefault="00E72039" w:rsidP="00BC7C63">
      <w:pPr>
        <w:spacing w:before="120" w:after="120"/>
        <w:jc w:val="both"/>
        <w:rPr>
          <w:sz w:val="24"/>
          <w:szCs w:val="24"/>
        </w:rPr>
      </w:pPr>
      <w:r w:rsidRPr="00780C55">
        <w:rPr>
          <w:sz w:val="24"/>
          <w:szCs w:val="24"/>
        </w:rPr>
        <w:t>NKÚ na základě provedené</w:t>
      </w:r>
      <w:r w:rsidR="002C1507" w:rsidRPr="00780C55">
        <w:rPr>
          <w:sz w:val="24"/>
          <w:szCs w:val="24"/>
        </w:rPr>
        <w:t>ho výpočtu</w:t>
      </w:r>
      <w:r w:rsidRPr="00780C55">
        <w:rPr>
          <w:sz w:val="24"/>
          <w:szCs w:val="24"/>
        </w:rPr>
        <w:t xml:space="preserve"> zjistil, že GFŘ v kontrolovaném období vynaložilo 6,8</w:t>
      </w:r>
      <w:r w:rsidR="007640D5">
        <w:rPr>
          <w:sz w:val="24"/>
          <w:szCs w:val="24"/>
        </w:rPr>
        <w:t> </w:t>
      </w:r>
      <w:r w:rsidRPr="00780C55">
        <w:rPr>
          <w:sz w:val="24"/>
          <w:szCs w:val="24"/>
        </w:rPr>
        <w:t>mil.</w:t>
      </w:r>
      <w:r w:rsidR="00156899">
        <w:rPr>
          <w:sz w:val="24"/>
          <w:szCs w:val="24"/>
        </w:rPr>
        <w:t> </w:t>
      </w:r>
      <w:r w:rsidRPr="00780C55">
        <w:rPr>
          <w:sz w:val="24"/>
          <w:szCs w:val="24"/>
        </w:rPr>
        <w:t xml:space="preserve">Kč na mzdové výdaje </w:t>
      </w:r>
      <w:r w:rsidR="00A374D9">
        <w:rPr>
          <w:sz w:val="24"/>
          <w:szCs w:val="24"/>
        </w:rPr>
        <w:t>na</w:t>
      </w:r>
      <w:r w:rsidR="003059A6" w:rsidRPr="00780C55">
        <w:rPr>
          <w:sz w:val="24"/>
          <w:szCs w:val="24"/>
        </w:rPr>
        <w:t xml:space="preserve"> </w:t>
      </w:r>
      <w:r w:rsidRPr="00780C55">
        <w:rPr>
          <w:sz w:val="24"/>
          <w:szCs w:val="24"/>
        </w:rPr>
        <w:t>zaměstnanc</w:t>
      </w:r>
      <w:r w:rsidR="003059A6" w:rsidRPr="00780C55">
        <w:rPr>
          <w:sz w:val="24"/>
          <w:szCs w:val="24"/>
        </w:rPr>
        <w:t>e</w:t>
      </w:r>
      <w:r w:rsidRPr="00780C55">
        <w:rPr>
          <w:sz w:val="24"/>
          <w:szCs w:val="24"/>
        </w:rPr>
        <w:t xml:space="preserve">, kteří </w:t>
      </w:r>
      <w:r w:rsidR="001A1C31">
        <w:rPr>
          <w:sz w:val="24"/>
          <w:szCs w:val="24"/>
        </w:rPr>
        <w:t>prováděli činnosti v souvislosti s</w:t>
      </w:r>
      <w:r w:rsidR="002D6AF9">
        <w:rPr>
          <w:sz w:val="24"/>
          <w:szCs w:val="24"/>
        </w:rPr>
        <w:t> </w:t>
      </w:r>
      <w:r w:rsidR="003059A6" w:rsidRPr="00780C55">
        <w:rPr>
          <w:sz w:val="24"/>
          <w:szCs w:val="24"/>
        </w:rPr>
        <w:t>přemístění</w:t>
      </w:r>
      <w:r w:rsidR="001A1C31">
        <w:rPr>
          <w:sz w:val="24"/>
          <w:szCs w:val="24"/>
        </w:rPr>
        <w:t>m</w:t>
      </w:r>
      <w:r w:rsidR="003059A6" w:rsidRPr="00780C55">
        <w:rPr>
          <w:sz w:val="24"/>
          <w:szCs w:val="24"/>
        </w:rPr>
        <w:t xml:space="preserve"> </w:t>
      </w:r>
      <w:r w:rsidR="001A1C31">
        <w:rPr>
          <w:sz w:val="24"/>
          <w:szCs w:val="24"/>
        </w:rPr>
        <w:t>spisové dokumentace v listinné podobě</w:t>
      </w:r>
      <w:r w:rsidRPr="00780C55">
        <w:rPr>
          <w:sz w:val="24"/>
          <w:szCs w:val="24"/>
        </w:rPr>
        <w:t xml:space="preserve">. </w:t>
      </w:r>
      <w:r w:rsidR="00955A43">
        <w:rPr>
          <w:sz w:val="24"/>
          <w:szCs w:val="24"/>
        </w:rPr>
        <w:t>Důvodem bylo, že dosud nedošlo k nahrazení ADIS novým informačním systémem, který by automatizovaně umožňoval převedení dokumentu v listinné podobě do elektronické podoby s právními účinky originálu.</w:t>
      </w:r>
    </w:p>
    <w:p w14:paraId="160ACD0B" w14:textId="107ED54D" w:rsidR="008F6956" w:rsidRPr="0015789A" w:rsidRDefault="007149A0" w:rsidP="00AC24F3">
      <w:pPr>
        <w:pStyle w:val="Odstavecseseznamem"/>
        <w:keepNext/>
        <w:numPr>
          <w:ilvl w:val="1"/>
          <w:numId w:val="42"/>
        </w:numPr>
        <w:spacing w:before="240" w:after="120"/>
        <w:ind w:left="357" w:hanging="357"/>
        <w:contextualSpacing w:val="0"/>
        <w:jc w:val="both"/>
        <w:rPr>
          <w:rFonts w:cstheme="minorHAnsi"/>
          <w:b/>
          <w:sz w:val="24"/>
          <w:szCs w:val="24"/>
        </w:rPr>
      </w:pPr>
      <w:r w:rsidRPr="0015789A">
        <w:rPr>
          <w:rFonts w:cstheme="minorHAnsi"/>
          <w:b/>
          <w:sz w:val="24"/>
          <w:szCs w:val="24"/>
        </w:rPr>
        <w:t>GFŘ dosud neupravilo postup správců daně při postoupení spisů na OFŘ takovým</w:t>
      </w:r>
      <w:r w:rsidR="0015789A" w:rsidRPr="0015789A">
        <w:rPr>
          <w:rFonts w:cstheme="minorHAnsi"/>
          <w:b/>
          <w:sz w:val="24"/>
          <w:szCs w:val="24"/>
        </w:rPr>
        <w:t xml:space="preserve"> </w:t>
      </w:r>
      <w:r w:rsidRPr="0015789A">
        <w:rPr>
          <w:rFonts w:cstheme="minorHAnsi"/>
          <w:b/>
          <w:sz w:val="24"/>
          <w:szCs w:val="24"/>
        </w:rPr>
        <w:t xml:space="preserve">způsobem, </w:t>
      </w:r>
      <w:r w:rsidR="00156899">
        <w:rPr>
          <w:rFonts w:cstheme="minorHAnsi"/>
          <w:b/>
          <w:sz w:val="24"/>
          <w:szCs w:val="24"/>
        </w:rPr>
        <w:t xml:space="preserve">který </w:t>
      </w:r>
      <w:r w:rsidRPr="0015789A">
        <w:rPr>
          <w:rFonts w:cstheme="minorHAnsi"/>
          <w:b/>
          <w:sz w:val="24"/>
          <w:szCs w:val="24"/>
        </w:rPr>
        <w:t>by odpovídal požadavkům na elektronizaci správy daní</w:t>
      </w:r>
    </w:p>
    <w:p w14:paraId="3768DB04" w14:textId="77777777" w:rsidR="00916FB1" w:rsidRDefault="000B7E54" w:rsidP="00BC7C63">
      <w:pPr>
        <w:spacing w:before="120" w:after="120"/>
        <w:jc w:val="both"/>
        <w:rPr>
          <w:rFonts w:eastAsia="Arial" w:cstheme="minorHAnsi"/>
          <w:sz w:val="24"/>
          <w:szCs w:val="24"/>
          <w:lang w:eastAsia="cs-CZ"/>
        </w:rPr>
      </w:pPr>
      <w:r>
        <w:rPr>
          <w:sz w:val="24"/>
          <w:szCs w:val="24"/>
        </w:rPr>
        <w:t>S</w:t>
      </w:r>
      <w:r w:rsidRPr="00A6665C">
        <w:rPr>
          <w:rFonts w:cstheme="minorHAnsi"/>
          <w:sz w:val="24"/>
          <w:szCs w:val="24"/>
        </w:rPr>
        <w:t>právci daně</w:t>
      </w:r>
      <w:r w:rsidRPr="00A6665C">
        <w:rPr>
          <w:rFonts w:eastAsia="Arial" w:cstheme="minorHAnsi"/>
          <w:sz w:val="24"/>
          <w:szCs w:val="24"/>
          <w:lang w:eastAsia="cs-CZ"/>
        </w:rPr>
        <w:t xml:space="preserve"> v kontrolovaném období </w:t>
      </w:r>
      <w:r>
        <w:rPr>
          <w:rFonts w:eastAsia="Arial" w:cstheme="minorHAnsi"/>
          <w:sz w:val="24"/>
          <w:szCs w:val="24"/>
          <w:lang w:eastAsia="cs-CZ"/>
        </w:rPr>
        <w:t xml:space="preserve">postupovali podle </w:t>
      </w:r>
      <w:r w:rsidRPr="00A6665C">
        <w:rPr>
          <w:sz w:val="24"/>
          <w:szCs w:val="24"/>
        </w:rPr>
        <w:t xml:space="preserve">účinných </w:t>
      </w:r>
      <w:r w:rsidR="002D404E">
        <w:rPr>
          <w:sz w:val="24"/>
          <w:szCs w:val="24"/>
        </w:rPr>
        <w:t xml:space="preserve">metodických </w:t>
      </w:r>
      <w:r w:rsidRPr="00A6665C">
        <w:rPr>
          <w:sz w:val="24"/>
          <w:szCs w:val="24"/>
        </w:rPr>
        <w:t>pokynů ředitelky OFŘ</w:t>
      </w:r>
      <w:r w:rsidR="00453500">
        <w:rPr>
          <w:sz w:val="24"/>
          <w:szCs w:val="24"/>
        </w:rPr>
        <w:t xml:space="preserve"> a s</w:t>
      </w:r>
      <w:r w:rsidRPr="00A6665C">
        <w:rPr>
          <w:rFonts w:eastAsia="Arial" w:cstheme="minorHAnsi"/>
          <w:sz w:val="24"/>
          <w:szCs w:val="24"/>
          <w:lang w:eastAsia="cs-CZ"/>
        </w:rPr>
        <w:t xml:space="preserve">pisovou dokumentaci </w:t>
      </w:r>
      <w:r w:rsidR="00F53A87">
        <w:rPr>
          <w:rFonts w:eastAsia="Arial" w:cstheme="minorHAnsi"/>
          <w:sz w:val="24"/>
          <w:szCs w:val="24"/>
          <w:lang w:eastAsia="cs-CZ"/>
        </w:rPr>
        <w:t>související s</w:t>
      </w:r>
      <w:r w:rsidRPr="00A6665C">
        <w:rPr>
          <w:rFonts w:eastAsia="Arial" w:cstheme="minorHAnsi"/>
          <w:sz w:val="24"/>
          <w:szCs w:val="24"/>
          <w:lang w:eastAsia="cs-CZ"/>
        </w:rPr>
        <w:t xml:space="preserve"> DPPO z důvodu jejího předání na OFŘ</w:t>
      </w:r>
      <w:r w:rsidRPr="004A098E">
        <w:rPr>
          <w:rFonts w:eastAsia="Arial" w:cstheme="minorHAnsi"/>
          <w:sz w:val="24"/>
          <w:szCs w:val="24"/>
          <w:lang w:eastAsia="cs-CZ"/>
        </w:rPr>
        <w:t xml:space="preserve"> </w:t>
      </w:r>
      <w:r w:rsidRPr="00A6665C">
        <w:rPr>
          <w:rFonts w:eastAsia="Arial" w:cstheme="minorHAnsi"/>
          <w:sz w:val="24"/>
          <w:szCs w:val="24"/>
          <w:lang w:eastAsia="cs-CZ"/>
        </w:rPr>
        <w:t>většinou tiskli, přestože byla vedena v elektronické podobě.</w:t>
      </w:r>
      <w:r w:rsidRPr="009059E3">
        <w:rPr>
          <w:rFonts w:eastAsia="Arial" w:cstheme="minorHAnsi"/>
          <w:sz w:val="24"/>
          <w:szCs w:val="24"/>
          <w:lang w:eastAsia="cs-CZ"/>
        </w:rPr>
        <w:t xml:space="preserve"> </w:t>
      </w:r>
      <w:r w:rsidR="007149A0">
        <w:rPr>
          <w:rFonts w:eastAsia="Arial" w:cstheme="minorHAnsi"/>
          <w:sz w:val="24"/>
          <w:szCs w:val="24"/>
          <w:lang w:eastAsia="cs-CZ"/>
        </w:rPr>
        <w:t>V</w:t>
      </w:r>
      <w:r w:rsidRPr="00A6665C">
        <w:rPr>
          <w:rFonts w:eastAsia="Arial" w:cstheme="minorHAnsi"/>
          <w:sz w:val="24"/>
          <w:szCs w:val="24"/>
          <w:lang w:eastAsia="cs-CZ"/>
        </w:rPr>
        <w:t xml:space="preserve"> roce 2022 postoupili </w:t>
      </w:r>
      <w:r w:rsidR="00453500">
        <w:rPr>
          <w:rFonts w:eastAsia="Arial" w:cstheme="minorHAnsi"/>
          <w:sz w:val="24"/>
          <w:szCs w:val="24"/>
          <w:lang w:eastAsia="cs-CZ"/>
        </w:rPr>
        <w:t xml:space="preserve">správci daně </w:t>
      </w:r>
      <w:r w:rsidRPr="00A6665C">
        <w:rPr>
          <w:rFonts w:eastAsia="Arial" w:cstheme="minorHAnsi"/>
          <w:sz w:val="24"/>
          <w:szCs w:val="24"/>
          <w:lang w:eastAsia="cs-CZ"/>
        </w:rPr>
        <w:t>na OFŘ v </w:t>
      </w:r>
      <w:r w:rsidR="00BF2B70">
        <w:rPr>
          <w:rFonts w:eastAsia="Arial" w:cstheme="minorHAnsi"/>
          <w:sz w:val="24"/>
          <w:szCs w:val="24"/>
          <w:lang w:eastAsia="cs-CZ"/>
        </w:rPr>
        <w:t>listinné</w:t>
      </w:r>
      <w:r w:rsidRPr="00A6665C">
        <w:rPr>
          <w:rFonts w:eastAsia="Arial" w:cstheme="minorHAnsi"/>
          <w:sz w:val="24"/>
          <w:szCs w:val="24"/>
          <w:lang w:eastAsia="cs-CZ"/>
        </w:rPr>
        <w:t xml:space="preserve"> podobě 87 % spisů souvisejících s</w:t>
      </w:r>
      <w:r w:rsidR="009C65A6">
        <w:rPr>
          <w:rFonts w:eastAsia="Arial" w:cstheme="minorHAnsi"/>
          <w:sz w:val="24"/>
          <w:szCs w:val="24"/>
          <w:lang w:eastAsia="cs-CZ"/>
        </w:rPr>
        <w:t> </w:t>
      </w:r>
      <w:r w:rsidRPr="00A6665C">
        <w:rPr>
          <w:rFonts w:eastAsia="Arial" w:cstheme="minorHAnsi"/>
          <w:sz w:val="24"/>
          <w:szCs w:val="24"/>
          <w:lang w:eastAsia="cs-CZ"/>
        </w:rPr>
        <w:t xml:space="preserve">DPPO, které byly vedeny zcela elektronicky. </w:t>
      </w:r>
    </w:p>
    <w:p w14:paraId="4CA6EEE3" w14:textId="77777777" w:rsidR="00B9465A" w:rsidRPr="00022C43" w:rsidRDefault="000B7E54" w:rsidP="00022C43">
      <w:pPr>
        <w:spacing w:before="120" w:after="120"/>
        <w:jc w:val="both"/>
        <w:rPr>
          <w:rFonts w:eastAsia="Arial" w:cstheme="minorHAnsi"/>
          <w:sz w:val="24"/>
          <w:szCs w:val="24"/>
          <w:lang w:eastAsia="cs-CZ"/>
        </w:rPr>
      </w:pPr>
      <w:r w:rsidRPr="00022C43">
        <w:rPr>
          <w:rFonts w:eastAsia="Arial" w:cstheme="minorHAnsi"/>
          <w:sz w:val="24"/>
          <w:szCs w:val="24"/>
          <w:lang w:eastAsia="cs-CZ"/>
        </w:rPr>
        <w:t xml:space="preserve">NKÚ pro výpočet mzdových výdajů vynaložených </w:t>
      </w:r>
      <w:r w:rsidR="00453500" w:rsidRPr="00022C43">
        <w:rPr>
          <w:rFonts w:eastAsia="Arial" w:cstheme="minorHAnsi"/>
          <w:sz w:val="24"/>
          <w:szCs w:val="24"/>
          <w:lang w:eastAsia="cs-CZ"/>
        </w:rPr>
        <w:t xml:space="preserve">na zaměstnance </w:t>
      </w:r>
      <w:r w:rsidR="001729FF">
        <w:rPr>
          <w:rFonts w:eastAsia="Arial" w:cstheme="minorHAnsi"/>
          <w:sz w:val="24"/>
          <w:szCs w:val="24"/>
          <w:lang w:eastAsia="cs-CZ"/>
        </w:rPr>
        <w:t>v souvislosti s předáváním</w:t>
      </w:r>
      <w:r w:rsidR="001729FF" w:rsidRPr="00022C43">
        <w:rPr>
          <w:rFonts w:eastAsia="Arial" w:cstheme="minorHAnsi"/>
          <w:sz w:val="24"/>
          <w:szCs w:val="24"/>
          <w:lang w:eastAsia="cs-CZ"/>
        </w:rPr>
        <w:t xml:space="preserve"> </w:t>
      </w:r>
      <w:r w:rsidRPr="00022C43">
        <w:rPr>
          <w:rFonts w:eastAsia="Arial" w:cstheme="minorHAnsi"/>
          <w:sz w:val="24"/>
          <w:szCs w:val="24"/>
          <w:lang w:eastAsia="cs-CZ"/>
        </w:rPr>
        <w:t xml:space="preserve">relevantní části spisové dokumentace související s DPPO </w:t>
      </w:r>
      <w:r w:rsidR="007B3D2B" w:rsidRPr="00022C43">
        <w:rPr>
          <w:rFonts w:eastAsia="Arial" w:cstheme="minorHAnsi"/>
          <w:sz w:val="24"/>
          <w:szCs w:val="24"/>
          <w:lang w:eastAsia="cs-CZ"/>
        </w:rPr>
        <w:t>provedl kvalifikovaný odhad času potřebného na činnosti prováděné při přemístění této dokumentace z FÚ na OFŘ.</w:t>
      </w:r>
    </w:p>
    <w:p w14:paraId="1E6E3614" w14:textId="441765D8" w:rsidR="000B7E54" w:rsidRDefault="000B7E54" w:rsidP="00BC7C63">
      <w:pPr>
        <w:spacing w:before="120" w:after="120"/>
        <w:jc w:val="both"/>
        <w:rPr>
          <w:sz w:val="24"/>
          <w:szCs w:val="24"/>
        </w:rPr>
      </w:pPr>
      <w:r>
        <w:rPr>
          <w:sz w:val="24"/>
          <w:szCs w:val="24"/>
        </w:rPr>
        <w:t xml:space="preserve">NKÚ </w:t>
      </w:r>
      <w:r w:rsidR="00453500">
        <w:rPr>
          <w:sz w:val="24"/>
          <w:szCs w:val="24"/>
        </w:rPr>
        <w:t xml:space="preserve">na základě provedeného výpočtu </w:t>
      </w:r>
      <w:r>
        <w:rPr>
          <w:sz w:val="24"/>
          <w:szCs w:val="24"/>
        </w:rPr>
        <w:t xml:space="preserve">zjistil, že </w:t>
      </w:r>
      <w:r w:rsidR="00660A80">
        <w:rPr>
          <w:sz w:val="24"/>
          <w:szCs w:val="24"/>
        </w:rPr>
        <w:t xml:space="preserve">GFŘ </w:t>
      </w:r>
      <w:r>
        <w:rPr>
          <w:sz w:val="24"/>
          <w:szCs w:val="24"/>
        </w:rPr>
        <w:t>v letech 2018</w:t>
      </w:r>
      <w:r w:rsidR="005B3169">
        <w:rPr>
          <w:sz w:val="24"/>
          <w:szCs w:val="24"/>
        </w:rPr>
        <w:t xml:space="preserve"> až </w:t>
      </w:r>
      <w:r>
        <w:rPr>
          <w:sz w:val="24"/>
          <w:szCs w:val="24"/>
        </w:rPr>
        <w:t xml:space="preserve">2022 </w:t>
      </w:r>
      <w:r w:rsidR="00D14821">
        <w:rPr>
          <w:rFonts w:eastAsia="Arial" w:cstheme="minorHAnsi"/>
          <w:sz w:val="24"/>
          <w:szCs w:val="24"/>
          <w:lang w:eastAsia="cs-CZ"/>
        </w:rPr>
        <w:t>vynaložilo</w:t>
      </w:r>
      <w:r w:rsidR="00D14821">
        <w:rPr>
          <w:sz w:val="24"/>
          <w:szCs w:val="24"/>
        </w:rPr>
        <w:t xml:space="preserve"> </w:t>
      </w:r>
      <w:r>
        <w:rPr>
          <w:sz w:val="24"/>
          <w:szCs w:val="24"/>
        </w:rPr>
        <w:t>1,2</w:t>
      </w:r>
      <w:r w:rsidR="005C05E3">
        <w:rPr>
          <w:sz w:val="24"/>
          <w:szCs w:val="24"/>
        </w:rPr>
        <w:t> </w:t>
      </w:r>
      <w:r>
        <w:rPr>
          <w:sz w:val="24"/>
          <w:szCs w:val="24"/>
        </w:rPr>
        <w:t>mil.</w:t>
      </w:r>
      <w:r w:rsidR="005C05E3">
        <w:rPr>
          <w:sz w:val="24"/>
          <w:szCs w:val="24"/>
        </w:rPr>
        <w:t> </w:t>
      </w:r>
      <w:r>
        <w:rPr>
          <w:sz w:val="24"/>
          <w:szCs w:val="24"/>
        </w:rPr>
        <w:t xml:space="preserve">Kč na mzdové výdaje </w:t>
      </w:r>
      <w:r w:rsidR="00A374D9">
        <w:rPr>
          <w:sz w:val="24"/>
          <w:szCs w:val="24"/>
        </w:rPr>
        <w:t>na</w:t>
      </w:r>
      <w:r>
        <w:rPr>
          <w:sz w:val="24"/>
          <w:szCs w:val="24"/>
        </w:rPr>
        <w:t xml:space="preserve"> zaměstnance, kteří </w:t>
      </w:r>
      <w:r w:rsidR="001729FF">
        <w:rPr>
          <w:sz w:val="24"/>
          <w:szCs w:val="24"/>
        </w:rPr>
        <w:t xml:space="preserve">prováděli činnosti související s přemisťováním </w:t>
      </w:r>
      <w:r>
        <w:rPr>
          <w:sz w:val="24"/>
          <w:szCs w:val="24"/>
        </w:rPr>
        <w:t>spisov</w:t>
      </w:r>
      <w:r w:rsidR="001729FF">
        <w:rPr>
          <w:sz w:val="24"/>
          <w:szCs w:val="24"/>
        </w:rPr>
        <w:t>é</w:t>
      </w:r>
      <w:r>
        <w:rPr>
          <w:sz w:val="24"/>
          <w:szCs w:val="24"/>
        </w:rPr>
        <w:t xml:space="preserve"> dokumentac</w:t>
      </w:r>
      <w:r w:rsidR="001729FF">
        <w:rPr>
          <w:sz w:val="24"/>
          <w:szCs w:val="24"/>
        </w:rPr>
        <w:t>e</w:t>
      </w:r>
      <w:r w:rsidR="003D3912">
        <w:rPr>
          <w:sz w:val="24"/>
          <w:szCs w:val="24"/>
        </w:rPr>
        <w:t xml:space="preserve"> v listinné podobě</w:t>
      </w:r>
      <w:r w:rsidR="00660A80">
        <w:rPr>
          <w:sz w:val="24"/>
          <w:szCs w:val="24"/>
        </w:rPr>
        <w:t xml:space="preserve"> na OFŘ</w:t>
      </w:r>
      <w:r>
        <w:rPr>
          <w:sz w:val="24"/>
          <w:szCs w:val="24"/>
        </w:rPr>
        <w:t xml:space="preserve">. </w:t>
      </w:r>
    </w:p>
    <w:p w14:paraId="51F42C15" w14:textId="2F76E9FC" w:rsidR="0014679B" w:rsidRPr="001F1420" w:rsidRDefault="0010595A" w:rsidP="00C62D35">
      <w:pPr>
        <w:pStyle w:val="Odstavecseseznamem"/>
        <w:keepNext/>
        <w:spacing w:before="120" w:after="120"/>
        <w:ind w:left="284" w:hanging="284"/>
        <w:contextualSpacing w:val="0"/>
        <w:rPr>
          <w:b/>
          <w:sz w:val="24"/>
          <w:szCs w:val="24"/>
        </w:rPr>
      </w:pPr>
      <w:r>
        <w:rPr>
          <w:b/>
          <w:sz w:val="24"/>
          <w:szCs w:val="24"/>
        </w:rPr>
        <w:t xml:space="preserve">6. </w:t>
      </w:r>
      <w:r w:rsidR="003E70AB">
        <w:rPr>
          <w:b/>
          <w:sz w:val="24"/>
          <w:szCs w:val="24"/>
        </w:rPr>
        <w:tab/>
      </w:r>
      <w:r w:rsidR="0014679B" w:rsidRPr="001F1420">
        <w:rPr>
          <w:b/>
          <w:sz w:val="24"/>
          <w:szCs w:val="24"/>
        </w:rPr>
        <w:t xml:space="preserve">GFŘ nemělo přehled o vytíženosti zaměstnanců vykonávajících činnosti související s DPPO napříč FS ČR </w:t>
      </w:r>
    </w:p>
    <w:p w14:paraId="1F4BF5B3" w14:textId="77777777" w:rsidR="0014679B" w:rsidRDefault="0014679B" w:rsidP="0014679B">
      <w:pPr>
        <w:spacing w:before="120" w:after="120"/>
        <w:jc w:val="both"/>
        <w:rPr>
          <w:sz w:val="24"/>
          <w:szCs w:val="24"/>
        </w:rPr>
      </w:pPr>
      <w:r>
        <w:rPr>
          <w:sz w:val="24"/>
          <w:szCs w:val="24"/>
        </w:rPr>
        <w:t>Sledování a vyhodnocování vytíženosti zaměstnanců vykonávajících činnosti související s DPPO prováděli jednou ročně za příslušné FÚ jejich ředitelé. Na základě výsledků tohoto hodnocení navrhoval ředitel FÚ přesun personálních kapacit nebo zrušení systemizovaných míst v případě nařízené optimalizace v rámci FÚ.</w:t>
      </w:r>
    </w:p>
    <w:p w14:paraId="401DA639" w14:textId="637920DA" w:rsidR="00206B65" w:rsidRDefault="0014679B" w:rsidP="0014679B">
      <w:pPr>
        <w:spacing w:before="120" w:after="120"/>
        <w:jc w:val="both"/>
        <w:rPr>
          <w:sz w:val="24"/>
          <w:szCs w:val="24"/>
        </w:rPr>
      </w:pPr>
      <w:r>
        <w:rPr>
          <w:sz w:val="24"/>
          <w:szCs w:val="24"/>
        </w:rPr>
        <w:t xml:space="preserve">NKÚ pro </w:t>
      </w:r>
      <w:r w:rsidR="008E2DE9">
        <w:rPr>
          <w:sz w:val="24"/>
          <w:szCs w:val="24"/>
        </w:rPr>
        <w:t xml:space="preserve">hodnocení </w:t>
      </w:r>
      <w:r w:rsidR="00941E9E">
        <w:rPr>
          <w:sz w:val="24"/>
          <w:szCs w:val="24"/>
        </w:rPr>
        <w:t xml:space="preserve">vytíženosti </w:t>
      </w:r>
      <w:r>
        <w:rPr>
          <w:sz w:val="24"/>
          <w:szCs w:val="24"/>
        </w:rPr>
        <w:t>jednotlivých FÚ v oblasti DPPO stanovil u vybraných výkonnostních ukazatelů</w:t>
      </w:r>
      <w:r w:rsidR="0059637C">
        <w:rPr>
          <w:rStyle w:val="Znakapoznpodarou"/>
          <w:sz w:val="24"/>
          <w:szCs w:val="24"/>
        </w:rPr>
        <w:footnoteReference w:id="23"/>
      </w:r>
      <w:r>
        <w:rPr>
          <w:sz w:val="24"/>
          <w:szCs w:val="24"/>
        </w:rPr>
        <w:t xml:space="preserve"> (viz tabulka č. </w:t>
      </w:r>
      <w:r w:rsidR="00C96804">
        <w:rPr>
          <w:sz w:val="24"/>
          <w:szCs w:val="24"/>
        </w:rPr>
        <w:t>3</w:t>
      </w:r>
      <w:r>
        <w:rPr>
          <w:sz w:val="24"/>
          <w:szCs w:val="24"/>
        </w:rPr>
        <w:t xml:space="preserve">) vlastní kritérium, jímž byl průměrný počet výkonnostních ukazatelů na jednoho zaměstnance vykonávajícího stanovený proces. </w:t>
      </w:r>
      <w:r w:rsidRPr="00631B98">
        <w:rPr>
          <w:sz w:val="24"/>
          <w:szCs w:val="24"/>
        </w:rPr>
        <w:t>Výrazné odlišnosti v</w:t>
      </w:r>
      <w:r>
        <w:rPr>
          <w:sz w:val="24"/>
          <w:szCs w:val="24"/>
        </w:rPr>
        <w:t> </w:t>
      </w:r>
      <w:r w:rsidRPr="00631B98">
        <w:rPr>
          <w:sz w:val="24"/>
          <w:szCs w:val="24"/>
        </w:rPr>
        <w:t xml:space="preserve">porovnávaných hodnotách vypovídaly o </w:t>
      </w:r>
      <w:r w:rsidR="000E7256">
        <w:rPr>
          <w:sz w:val="24"/>
          <w:szCs w:val="24"/>
        </w:rPr>
        <w:t xml:space="preserve">nerovnoměrném </w:t>
      </w:r>
      <w:r w:rsidR="00F83611">
        <w:rPr>
          <w:sz w:val="24"/>
          <w:szCs w:val="24"/>
        </w:rPr>
        <w:t xml:space="preserve">zatížení </w:t>
      </w:r>
      <w:r w:rsidRPr="00631B98">
        <w:rPr>
          <w:sz w:val="24"/>
          <w:szCs w:val="24"/>
        </w:rPr>
        <w:t xml:space="preserve">zaměstnanců konkrétního FÚ v rámci určitého procesu. </w:t>
      </w:r>
    </w:p>
    <w:p w14:paraId="4C7EBC83" w14:textId="0DF01208" w:rsidR="0014679B" w:rsidRPr="00E72039" w:rsidRDefault="0014679B" w:rsidP="00E73F94">
      <w:pPr>
        <w:keepNext/>
        <w:spacing w:after="40"/>
        <w:rPr>
          <w:b/>
          <w:sz w:val="24"/>
          <w:szCs w:val="24"/>
        </w:rPr>
      </w:pPr>
      <w:r w:rsidRPr="00E72039">
        <w:rPr>
          <w:b/>
          <w:sz w:val="24"/>
          <w:szCs w:val="24"/>
        </w:rPr>
        <w:t xml:space="preserve">Tabulka č. </w:t>
      </w:r>
      <w:r w:rsidR="00AB1FF4">
        <w:rPr>
          <w:b/>
          <w:sz w:val="24"/>
          <w:szCs w:val="24"/>
        </w:rPr>
        <w:t>3</w:t>
      </w:r>
      <w:r w:rsidR="00156899">
        <w:rPr>
          <w:b/>
          <w:sz w:val="24"/>
          <w:szCs w:val="24"/>
        </w:rPr>
        <w:t>:</w:t>
      </w:r>
      <w:r>
        <w:rPr>
          <w:b/>
          <w:sz w:val="24"/>
          <w:szCs w:val="24"/>
        </w:rPr>
        <w:t xml:space="preserve"> Průměrná v</w:t>
      </w:r>
      <w:r w:rsidRPr="00E72039">
        <w:rPr>
          <w:b/>
          <w:sz w:val="24"/>
          <w:szCs w:val="24"/>
        </w:rPr>
        <w:t>ytíženost zaměstnanců v oblasti DPPO v letech 2018</w:t>
      </w:r>
      <w:r>
        <w:rPr>
          <w:b/>
          <w:sz w:val="24"/>
          <w:szCs w:val="24"/>
        </w:rPr>
        <w:t xml:space="preserve"> až </w:t>
      </w:r>
      <w:r w:rsidRPr="00E72039">
        <w:rPr>
          <w:b/>
          <w:sz w:val="24"/>
          <w:szCs w:val="24"/>
        </w:rPr>
        <w:t>2023</w:t>
      </w:r>
    </w:p>
    <w:tbl>
      <w:tblPr>
        <w:tblW w:w="9062" w:type="dxa"/>
        <w:tblLayout w:type="fixed"/>
        <w:tblCellMar>
          <w:left w:w="70" w:type="dxa"/>
          <w:right w:w="70" w:type="dxa"/>
        </w:tblCellMar>
        <w:tblLook w:val="04A0" w:firstRow="1" w:lastRow="0" w:firstColumn="1" w:lastColumn="0" w:noHBand="0" w:noVBand="1"/>
      </w:tblPr>
      <w:tblGrid>
        <w:gridCol w:w="527"/>
        <w:gridCol w:w="744"/>
        <w:gridCol w:w="992"/>
        <w:gridCol w:w="993"/>
        <w:gridCol w:w="567"/>
        <w:gridCol w:w="1417"/>
        <w:gridCol w:w="1134"/>
        <w:gridCol w:w="567"/>
        <w:gridCol w:w="1172"/>
        <w:gridCol w:w="949"/>
      </w:tblGrid>
      <w:tr w:rsidR="0014679B" w:rsidRPr="000B1EE1" w14:paraId="3E0ED32C" w14:textId="77777777" w:rsidTr="00E73F94">
        <w:trPr>
          <w:trHeight w:val="206"/>
        </w:trPr>
        <w:tc>
          <w:tcPr>
            <w:tcW w:w="527" w:type="dxa"/>
            <w:vMerge w:val="restart"/>
            <w:tcBorders>
              <w:top w:val="single" w:sz="4" w:space="0" w:color="auto"/>
              <w:left w:val="single" w:sz="4" w:space="0" w:color="auto"/>
              <w:right w:val="single" w:sz="4" w:space="0" w:color="auto"/>
            </w:tcBorders>
            <w:shd w:val="clear" w:color="auto" w:fill="auto"/>
            <w:vAlign w:val="center"/>
            <w:hideMark/>
          </w:tcPr>
          <w:p w14:paraId="3512C555" w14:textId="77777777" w:rsidR="0014679B" w:rsidRPr="000B1EE1" w:rsidRDefault="0014679B" w:rsidP="006A30CF">
            <w:pPr>
              <w:spacing w:after="0" w:line="240" w:lineRule="auto"/>
              <w:rPr>
                <w:rFonts w:ascii="Calibri" w:eastAsia="Times New Roman" w:hAnsi="Calibri" w:cs="Calibri"/>
                <w:b/>
                <w:bCs/>
                <w:color w:val="000000"/>
                <w:sz w:val="18"/>
                <w:szCs w:val="18"/>
                <w:lang w:eastAsia="cs-CZ"/>
              </w:rPr>
            </w:pPr>
            <w:r w:rsidRPr="000B1EE1">
              <w:rPr>
                <w:rFonts w:ascii="Calibri" w:eastAsia="Times New Roman" w:hAnsi="Calibri" w:cs="Calibri"/>
                <w:b/>
                <w:bCs/>
                <w:color w:val="000000"/>
                <w:sz w:val="18"/>
                <w:szCs w:val="18"/>
                <w:lang w:eastAsia="cs-CZ"/>
              </w:rPr>
              <w:t>Rok</w:t>
            </w:r>
          </w:p>
        </w:tc>
        <w:tc>
          <w:tcPr>
            <w:tcW w:w="2729" w:type="dxa"/>
            <w:gridSpan w:val="3"/>
            <w:tcBorders>
              <w:top w:val="single" w:sz="4" w:space="0" w:color="auto"/>
              <w:left w:val="nil"/>
              <w:bottom w:val="single" w:sz="4" w:space="0" w:color="auto"/>
              <w:right w:val="single" w:sz="4" w:space="0" w:color="auto"/>
            </w:tcBorders>
            <w:shd w:val="clear" w:color="auto" w:fill="9DD3C7"/>
            <w:noWrap/>
            <w:vAlign w:val="center"/>
            <w:hideMark/>
          </w:tcPr>
          <w:p w14:paraId="2C291C41" w14:textId="77777777" w:rsidR="0014679B" w:rsidRPr="000B1EE1" w:rsidRDefault="0014679B" w:rsidP="006A30CF">
            <w:pPr>
              <w:spacing w:after="0" w:line="240" w:lineRule="auto"/>
              <w:jc w:val="center"/>
              <w:rPr>
                <w:rFonts w:ascii="Calibri" w:eastAsia="Times New Roman" w:hAnsi="Calibri" w:cs="Calibri"/>
                <w:b/>
                <w:bCs/>
                <w:color w:val="000000"/>
                <w:sz w:val="18"/>
                <w:szCs w:val="18"/>
                <w:lang w:eastAsia="cs-CZ"/>
              </w:rPr>
            </w:pPr>
            <w:r w:rsidRPr="000B1EE1">
              <w:rPr>
                <w:rFonts w:ascii="Calibri" w:eastAsia="Times New Roman" w:hAnsi="Calibri" w:cs="Calibri"/>
                <w:b/>
                <w:bCs/>
                <w:color w:val="000000"/>
                <w:sz w:val="18"/>
                <w:szCs w:val="18"/>
                <w:lang w:eastAsia="cs-CZ"/>
              </w:rPr>
              <w:t>Stanovování DPPO</w:t>
            </w:r>
            <w:r>
              <w:rPr>
                <w:rFonts w:ascii="Calibri" w:eastAsia="Times New Roman" w:hAnsi="Calibri" w:cs="Calibri"/>
                <w:b/>
                <w:bCs/>
                <w:color w:val="000000"/>
                <w:sz w:val="18"/>
                <w:szCs w:val="18"/>
                <w:lang w:eastAsia="cs-CZ"/>
              </w:rPr>
              <w:t>*</w:t>
            </w:r>
          </w:p>
        </w:tc>
        <w:tc>
          <w:tcPr>
            <w:tcW w:w="3118" w:type="dxa"/>
            <w:gridSpan w:val="3"/>
            <w:tcBorders>
              <w:top w:val="single" w:sz="4" w:space="0" w:color="auto"/>
              <w:left w:val="nil"/>
              <w:bottom w:val="single" w:sz="4" w:space="0" w:color="auto"/>
              <w:right w:val="single" w:sz="4" w:space="0" w:color="auto"/>
            </w:tcBorders>
            <w:shd w:val="clear" w:color="auto" w:fill="C2E2DB"/>
            <w:noWrap/>
            <w:vAlign w:val="center"/>
            <w:hideMark/>
          </w:tcPr>
          <w:p w14:paraId="402DC34E" w14:textId="77777777" w:rsidR="0014679B" w:rsidRPr="000B1EE1" w:rsidRDefault="0014679B" w:rsidP="006A30CF">
            <w:pPr>
              <w:spacing w:after="0" w:line="240" w:lineRule="auto"/>
              <w:jc w:val="center"/>
              <w:rPr>
                <w:rFonts w:ascii="Calibri" w:eastAsia="Times New Roman" w:hAnsi="Calibri" w:cs="Calibri"/>
                <w:b/>
                <w:bCs/>
                <w:color w:val="000000"/>
                <w:sz w:val="18"/>
                <w:szCs w:val="18"/>
                <w:lang w:eastAsia="cs-CZ"/>
              </w:rPr>
            </w:pPr>
            <w:r w:rsidRPr="000B1EE1">
              <w:rPr>
                <w:rFonts w:ascii="Calibri" w:eastAsia="Times New Roman" w:hAnsi="Calibri" w:cs="Calibri"/>
                <w:b/>
                <w:bCs/>
                <w:color w:val="000000"/>
                <w:sz w:val="18"/>
                <w:szCs w:val="18"/>
                <w:lang w:eastAsia="cs-CZ"/>
              </w:rPr>
              <w:t>Kontrolní činnost</w:t>
            </w:r>
            <w:r>
              <w:rPr>
                <w:rFonts w:ascii="Calibri" w:eastAsia="Times New Roman" w:hAnsi="Calibri" w:cs="Calibri"/>
                <w:b/>
                <w:bCs/>
                <w:color w:val="000000"/>
                <w:sz w:val="18"/>
                <w:szCs w:val="18"/>
                <w:lang w:eastAsia="cs-CZ"/>
              </w:rPr>
              <w:t>**</w:t>
            </w:r>
          </w:p>
        </w:tc>
        <w:tc>
          <w:tcPr>
            <w:tcW w:w="2688" w:type="dxa"/>
            <w:gridSpan w:val="3"/>
            <w:tcBorders>
              <w:top w:val="single" w:sz="4" w:space="0" w:color="auto"/>
              <w:left w:val="nil"/>
              <w:bottom w:val="single" w:sz="4" w:space="0" w:color="auto"/>
              <w:right w:val="single" w:sz="4" w:space="0" w:color="auto"/>
            </w:tcBorders>
            <w:shd w:val="clear" w:color="auto" w:fill="E2F1EE"/>
            <w:noWrap/>
            <w:vAlign w:val="center"/>
            <w:hideMark/>
          </w:tcPr>
          <w:p w14:paraId="36AA4B12" w14:textId="77777777" w:rsidR="0014679B" w:rsidRPr="000B1EE1" w:rsidRDefault="0014679B" w:rsidP="006A30CF">
            <w:pPr>
              <w:spacing w:after="0" w:line="240" w:lineRule="auto"/>
              <w:jc w:val="center"/>
              <w:rPr>
                <w:rFonts w:ascii="Calibri" w:eastAsia="Times New Roman" w:hAnsi="Calibri" w:cs="Calibri"/>
                <w:b/>
                <w:bCs/>
                <w:color w:val="000000"/>
                <w:sz w:val="18"/>
                <w:szCs w:val="18"/>
                <w:lang w:eastAsia="cs-CZ"/>
              </w:rPr>
            </w:pPr>
            <w:r w:rsidRPr="000B1EE1">
              <w:rPr>
                <w:rFonts w:ascii="Calibri" w:eastAsia="Times New Roman" w:hAnsi="Calibri" w:cs="Calibri"/>
                <w:b/>
                <w:bCs/>
                <w:color w:val="000000"/>
                <w:sz w:val="18"/>
                <w:szCs w:val="18"/>
                <w:lang w:eastAsia="cs-CZ"/>
              </w:rPr>
              <w:t>Vymáhání daňových nedoplatků</w:t>
            </w:r>
            <w:r>
              <w:rPr>
                <w:rFonts w:ascii="Calibri" w:eastAsia="Times New Roman" w:hAnsi="Calibri" w:cs="Calibri"/>
                <w:b/>
                <w:bCs/>
                <w:color w:val="000000"/>
                <w:sz w:val="18"/>
                <w:szCs w:val="18"/>
                <w:lang w:eastAsia="cs-CZ"/>
              </w:rPr>
              <w:t>***</w:t>
            </w:r>
          </w:p>
        </w:tc>
      </w:tr>
      <w:tr w:rsidR="0014679B" w:rsidRPr="00A5634C" w14:paraId="74163BBB" w14:textId="77777777" w:rsidTr="00E73F94">
        <w:trPr>
          <w:trHeight w:val="619"/>
        </w:trPr>
        <w:tc>
          <w:tcPr>
            <w:tcW w:w="527" w:type="dxa"/>
            <w:vMerge/>
            <w:tcBorders>
              <w:left w:val="single" w:sz="4" w:space="0" w:color="auto"/>
              <w:bottom w:val="single" w:sz="4" w:space="0" w:color="auto"/>
              <w:right w:val="single" w:sz="4" w:space="0" w:color="auto"/>
            </w:tcBorders>
            <w:shd w:val="clear" w:color="auto" w:fill="auto"/>
            <w:vAlign w:val="center"/>
            <w:hideMark/>
          </w:tcPr>
          <w:p w14:paraId="59C80C75" w14:textId="77777777" w:rsidR="0014679B" w:rsidRPr="000B1EE1" w:rsidRDefault="0014679B" w:rsidP="006A30CF">
            <w:pPr>
              <w:spacing w:after="0" w:line="240" w:lineRule="auto"/>
              <w:rPr>
                <w:rFonts w:ascii="Calibri" w:eastAsia="Times New Roman" w:hAnsi="Calibri" w:cs="Calibri"/>
                <w:b/>
                <w:bCs/>
                <w:color w:val="000000"/>
                <w:sz w:val="18"/>
                <w:szCs w:val="18"/>
                <w:lang w:eastAsia="cs-CZ"/>
              </w:rPr>
            </w:pPr>
          </w:p>
        </w:tc>
        <w:tc>
          <w:tcPr>
            <w:tcW w:w="744" w:type="dxa"/>
            <w:tcBorders>
              <w:top w:val="nil"/>
              <w:left w:val="nil"/>
              <w:bottom w:val="single" w:sz="4" w:space="0" w:color="auto"/>
              <w:right w:val="single" w:sz="4" w:space="0" w:color="auto"/>
            </w:tcBorders>
            <w:shd w:val="clear" w:color="auto" w:fill="9DD3C7"/>
            <w:noWrap/>
            <w:vAlign w:val="center"/>
            <w:hideMark/>
          </w:tcPr>
          <w:p w14:paraId="6A92DDA9" w14:textId="77777777" w:rsidR="0014679B" w:rsidRPr="000B1EE1" w:rsidRDefault="0014679B" w:rsidP="006A30CF">
            <w:pPr>
              <w:spacing w:after="0" w:line="240" w:lineRule="auto"/>
              <w:jc w:val="center"/>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FS ČR</w:t>
            </w:r>
          </w:p>
        </w:tc>
        <w:tc>
          <w:tcPr>
            <w:tcW w:w="992" w:type="dxa"/>
            <w:tcBorders>
              <w:top w:val="nil"/>
              <w:left w:val="nil"/>
              <w:bottom w:val="single" w:sz="4" w:space="0" w:color="auto"/>
              <w:right w:val="single" w:sz="4" w:space="0" w:color="auto"/>
            </w:tcBorders>
            <w:shd w:val="clear" w:color="auto" w:fill="9DD3C7"/>
            <w:vAlign w:val="center"/>
            <w:hideMark/>
          </w:tcPr>
          <w:p w14:paraId="1F4E9196" w14:textId="77777777" w:rsidR="0014679B" w:rsidRPr="000B1EE1" w:rsidRDefault="0014679B" w:rsidP="006A30CF">
            <w:pPr>
              <w:spacing w:after="0" w:line="240" w:lineRule="auto"/>
              <w:jc w:val="center"/>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FÚ pro Zlínský kraj</w:t>
            </w:r>
          </w:p>
        </w:tc>
        <w:tc>
          <w:tcPr>
            <w:tcW w:w="993" w:type="dxa"/>
            <w:tcBorders>
              <w:top w:val="nil"/>
              <w:left w:val="nil"/>
              <w:bottom w:val="single" w:sz="4" w:space="0" w:color="auto"/>
              <w:right w:val="single" w:sz="4" w:space="0" w:color="auto"/>
            </w:tcBorders>
            <w:shd w:val="clear" w:color="auto" w:fill="9DD3C7"/>
            <w:vAlign w:val="center"/>
            <w:hideMark/>
          </w:tcPr>
          <w:p w14:paraId="2433DE44" w14:textId="77777777" w:rsidR="0014679B" w:rsidRPr="000B1EE1" w:rsidRDefault="0014679B" w:rsidP="006A30CF">
            <w:pPr>
              <w:spacing w:after="0" w:line="240" w:lineRule="auto"/>
              <w:jc w:val="center"/>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FÚ pro hl. m. Prahu</w:t>
            </w:r>
          </w:p>
        </w:tc>
        <w:tc>
          <w:tcPr>
            <w:tcW w:w="567" w:type="dxa"/>
            <w:tcBorders>
              <w:top w:val="nil"/>
              <w:left w:val="nil"/>
              <w:bottom w:val="single" w:sz="4" w:space="0" w:color="auto"/>
              <w:right w:val="single" w:sz="4" w:space="0" w:color="auto"/>
            </w:tcBorders>
            <w:shd w:val="clear" w:color="auto" w:fill="C2E2DB"/>
            <w:noWrap/>
            <w:vAlign w:val="center"/>
            <w:hideMark/>
          </w:tcPr>
          <w:p w14:paraId="74E2A813" w14:textId="77777777" w:rsidR="0014679B" w:rsidRPr="000B1EE1" w:rsidRDefault="0014679B" w:rsidP="006A30CF">
            <w:pPr>
              <w:spacing w:after="0" w:line="240" w:lineRule="auto"/>
              <w:jc w:val="center"/>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FS ČR</w:t>
            </w:r>
          </w:p>
        </w:tc>
        <w:tc>
          <w:tcPr>
            <w:tcW w:w="1417" w:type="dxa"/>
            <w:tcBorders>
              <w:top w:val="nil"/>
              <w:left w:val="nil"/>
              <w:bottom w:val="single" w:sz="4" w:space="0" w:color="auto"/>
              <w:right w:val="single" w:sz="4" w:space="0" w:color="auto"/>
            </w:tcBorders>
            <w:shd w:val="clear" w:color="auto" w:fill="C2E2DB"/>
            <w:vAlign w:val="center"/>
            <w:hideMark/>
          </w:tcPr>
          <w:p w14:paraId="3656C4C8" w14:textId="77777777" w:rsidR="0014679B" w:rsidRPr="000B1EE1" w:rsidRDefault="0014679B" w:rsidP="006A30CF">
            <w:pPr>
              <w:spacing w:after="0" w:line="240" w:lineRule="auto"/>
              <w:jc w:val="center"/>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FÚ pro Moravskoslezský kraj</w:t>
            </w:r>
          </w:p>
        </w:tc>
        <w:tc>
          <w:tcPr>
            <w:tcW w:w="1134" w:type="dxa"/>
            <w:tcBorders>
              <w:top w:val="nil"/>
              <w:left w:val="nil"/>
              <w:bottom w:val="single" w:sz="4" w:space="0" w:color="auto"/>
              <w:right w:val="single" w:sz="4" w:space="0" w:color="auto"/>
            </w:tcBorders>
            <w:shd w:val="clear" w:color="auto" w:fill="C2E2DB"/>
            <w:vAlign w:val="center"/>
            <w:hideMark/>
          </w:tcPr>
          <w:p w14:paraId="39C80B71" w14:textId="77777777" w:rsidR="0014679B" w:rsidRPr="000B1EE1" w:rsidRDefault="0014679B" w:rsidP="006A30CF">
            <w:pPr>
              <w:spacing w:after="0" w:line="240" w:lineRule="auto"/>
              <w:jc w:val="center"/>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FÚ pro Jihomoravský kraj</w:t>
            </w:r>
          </w:p>
        </w:tc>
        <w:tc>
          <w:tcPr>
            <w:tcW w:w="567" w:type="dxa"/>
            <w:tcBorders>
              <w:top w:val="nil"/>
              <w:left w:val="nil"/>
              <w:bottom w:val="single" w:sz="4" w:space="0" w:color="auto"/>
              <w:right w:val="single" w:sz="4" w:space="0" w:color="auto"/>
            </w:tcBorders>
            <w:shd w:val="clear" w:color="auto" w:fill="E2F1EE"/>
            <w:noWrap/>
            <w:vAlign w:val="center"/>
            <w:hideMark/>
          </w:tcPr>
          <w:p w14:paraId="4A6BBF46" w14:textId="77777777" w:rsidR="0014679B" w:rsidRPr="000B1EE1" w:rsidRDefault="0014679B" w:rsidP="006A30CF">
            <w:pPr>
              <w:spacing w:after="0" w:line="240" w:lineRule="auto"/>
              <w:jc w:val="center"/>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FS ČR</w:t>
            </w:r>
          </w:p>
        </w:tc>
        <w:tc>
          <w:tcPr>
            <w:tcW w:w="1172" w:type="dxa"/>
            <w:tcBorders>
              <w:top w:val="nil"/>
              <w:left w:val="nil"/>
              <w:bottom w:val="single" w:sz="4" w:space="0" w:color="auto"/>
              <w:right w:val="single" w:sz="4" w:space="0" w:color="auto"/>
            </w:tcBorders>
            <w:shd w:val="clear" w:color="auto" w:fill="E2F1EE"/>
            <w:vAlign w:val="center"/>
            <w:hideMark/>
          </w:tcPr>
          <w:p w14:paraId="2295B660" w14:textId="77777777" w:rsidR="0014679B" w:rsidRPr="000B1EE1" w:rsidRDefault="0014679B" w:rsidP="006A30CF">
            <w:pPr>
              <w:spacing w:after="0" w:line="240" w:lineRule="auto"/>
              <w:jc w:val="center"/>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FÚ pro Plzeňský kraj</w:t>
            </w:r>
          </w:p>
        </w:tc>
        <w:tc>
          <w:tcPr>
            <w:tcW w:w="949" w:type="dxa"/>
            <w:tcBorders>
              <w:top w:val="nil"/>
              <w:left w:val="nil"/>
              <w:bottom w:val="single" w:sz="4" w:space="0" w:color="auto"/>
              <w:right w:val="single" w:sz="4" w:space="0" w:color="auto"/>
            </w:tcBorders>
            <w:shd w:val="clear" w:color="auto" w:fill="E2F1EE"/>
            <w:vAlign w:val="center"/>
            <w:hideMark/>
          </w:tcPr>
          <w:p w14:paraId="64824176" w14:textId="77777777" w:rsidR="0014679B" w:rsidRPr="000B1EE1" w:rsidRDefault="0014679B" w:rsidP="006A30CF">
            <w:pPr>
              <w:spacing w:after="0" w:line="240" w:lineRule="auto"/>
              <w:jc w:val="center"/>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FÚ pro hl. m. Prahu</w:t>
            </w:r>
          </w:p>
        </w:tc>
      </w:tr>
      <w:tr w:rsidR="0014679B" w:rsidRPr="000B1EE1" w14:paraId="056E48CB" w14:textId="77777777" w:rsidTr="00E73F94">
        <w:trPr>
          <w:trHeight w:val="206"/>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3FE7C68" w14:textId="77777777" w:rsidR="0014679B" w:rsidRPr="000B1EE1" w:rsidRDefault="0014679B" w:rsidP="006A30CF">
            <w:pPr>
              <w:spacing w:after="0" w:line="240" w:lineRule="auto"/>
              <w:jc w:val="center"/>
              <w:rPr>
                <w:rFonts w:ascii="Calibri" w:eastAsia="Times New Roman" w:hAnsi="Calibri" w:cs="Calibri"/>
                <w:b/>
                <w:bCs/>
                <w:color w:val="000000"/>
                <w:sz w:val="18"/>
                <w:szCs w:val="18"/>
                <w:lang w:eastAsia="cs-CZ"/>
              </w:rPr>
            </w:pPr>
            <w:r w:rsidRPr="000B1EE1">
              <w:rPr>
                <w:rFonts w:ascii="Calibri" w:eastAsia="Times New Roman" w:hAnsi="Calibri" w:cs="Calibri"/>
                <w:b/>
                <w:bCs/>
                <w:color w:val="000000"/>
                <w:sz w:val="18"/>
                <w:szCs w:val="18"/>
                <w:lang w:eastAsia="cs-CZ"/>
              </w:rPr>
              <w:t>2018</w:t>
            </w:r>
          </w:p>
        </w:tc>
        <w:tc>
          <w:tcPr>
            <w:tcW w:w="744" w:type="dxa"/>
            <w:tcBorders>
              <w:top w:val="nil"/>
              <w:left w:val="nil"/>
              <w:bottom w:val="single" w:sz="4" w:space="0" w:color="auto"/>
              <w:right w:val="single" w:sz="4" w:space="0" w:color="auto"/>
            </w:tcBorders>
            <w:shd w:val="clear" w:color="auto" w:fill="auto"/>
            <w:noWrap/>
            <w:vAlign w:val="center"/>
            <w:hideMark/>
          </w:tcPr>
          <w:p w14:paraId="24F764D8"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949</w:t>
            </w:r>
          </w:p>
        </w:tc>
        <w:tc>
          <w:tcPr>
            <w:tcW w:w="992" w:type="dxa"/>
            <w:tcBorders>
              <w:top w:val="nil"/>
              <w:left w:val="nil"/>
              <w:bottom w:val="single" w:sz="4" w:space="0" w:color="auto"/>
              <w:right w:val="single" w:sz="4" w:space="0" w:color="auto"/>
            </w:tcBorders>
            <w:shd w:val="clear" w:color="auto" w:fill="auto"/>
            <w:noWrap/>
            <w:vAlign w:val="center"/>
            <w:hideMark/>
          </w:tcPr>
          <w:p w14:paraId="41E47BC0"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722</w:t>
            </w:r>
          </w:p>
        </w:tc>
        <w:tc>
          <w:tcPr>
            <w:tcW w:w="993" w:type="dxa"/>
            <w:tcBorders>
              <w:top w:val="nil"/>
              <w:left w:val="nil"/>
              <w:bottom w:val="single" w:sz="4" w:space="0" w:color="auto"/>
              <w:right w:val="single" w:sz="4" w:space="0" w:color="auto"/>
            </w:tcBorders>
            <w:shd w:val="clear" w:color="auto" w:fill="auto"/>
            <w:noWrap/>
            <w:vAlign w:val="center"/>
            <w:hideMark/>
          </w:tcPr>
          <w:p w14:paraId="756C40F3"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1 480</w:t>
            </w:r>
          </w:p>
        </w:tc>
        <w:tc>
          <w:tcPr>
            <w:tcW w:w="567" w:type="dxa"/>
            <w:tcBorders>
              <w:top w:val="nil"/>
              <w:left w:val="nil"/>
              <w:bottom w:val="single" w:sz="4" w:space="0" w:color="auto"/>
              <w:right w:val="single" w:sz="4" w:space="0" w:color="auto"/>
            </w:tcBorders>
            <w:shd w:val="clear" w:color="auto" w:fill="auto"/>
            <w:noWrap/>
            <w:vAlign w:val="center"/>
            <w:hideMark/>
          </w:tcPr>
          <w:p w14:paraId="5504A010"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6,5</w:t>
            </w:r>
          </w:p>
        </w:tc>
        <w:tc>
          <w:tcPr>
            <w:tcW w:w="1417" w:type="dxa"/>
            <w:tcBorders>
              <w:top w:val="nil"/>
              <w:left w:val="nil"/>
              <w:bottom w:val="single" w:sz="4" w:space="0" w:color="auto"/>
              <w:right w:val="single" w:sz="4" w:space="0" w:color="auto"/>
            </w:tcBorders>
            <w:shd w:val="clear" w:color="auto" w:fill="auto"/>
            <w:noWrap/>
            <w:vAlign w:val="center"/>
            <w:hideMark/>
          </w:tcPr>
          <w:p w14:paraId="2D7D7455"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3,5</w:t>
            </w:r>
          </w:p>
        </w:tc>
        <w:tc>
          <w:tcPr>
            <w:tcW w:w="1134" w:type="dxa"/>
            <w:tcBorders>
              <w:top w:val="nil"/>
              <w:left w:val="nil"/>
              <w:bottom w:val="single" w:sz="4" w:space="0" w:color="auto"/>
              <w:right w:val="single" w:sz="4" w:space="0" w:color="auto"/>
            </w:tcBorders>
            <w:shd w:val="clear" w:color="auto" w:fill="auto"/>
            <w:noWrap/>
            <w:vAlign w:val="center"/>
            <w:hideMark/>
          </w:tcPr>
          <w:p w14:paraId="40E4B7A5"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6,4</w:t>
            </w:r>
          </w:p>
        </w:tc>
        <w:tc>
          <w:tcPr>
            <w:tcW w:w="567" w:type="dxa"/>
            <w:tcBorders>
              <w:top w:val="nil"/>
              <w:left w:val="nil"/>
              <w:bottom w:val="single" w:sz="4" w:space="0" w:color="auto"/>
              <w:right w:val="single" w:sz="4" w:space="0" w:color="auto"/>
            </w:tcBorders>
            <w:shd w:val="clear" w:color="auto" w:fill="auto"/>
            <w:noWrap/>
            <w:vAlign w:val="center"/>
            <w:hideMark/>
          </w:tcPr>
          <w:p w14:paraId="21661BD2"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350</w:t>
            </w:r>
          </w:p>
        </w:tc>
        <w:tc>
          <w:tcPr>
            <w:tcW w:w="1172" w:type="dxa"/>
            <w:tcBorders>
              <w:top w:val="nil"/>
              <w:left w:val="nil"/>
              <w:bottom w:val="single" w:sz="4" w:space="0" w:color="auto"/>
              <w:right w:val="single" w:sz="4" w:space="0" w:color="auto"/>
            </w:tcBorders>
            <w:shd w:val="clear" w:color="auto" w:fill="auto"/>
            <w:noWrap/>
            <w:vAlign w:val="center"/>
            <w:hideMark/>
          </w:tcPr>
          <w:p w14:paraId="654609D3"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263</w:t>
            </w:r>
          </w:p>
        </w:tc>
        <w:tc>
          <w:tcPr>
            <w:tcW w:w="949" w:type="dxa"/>
            <w:tcBorders>
              <w:top w:val="nil"/>
              <w:left w:val="nil"/>
              <w:bottom w:val="single" w:sz="4" w:space="0" w:color="auto"/>
              <w:right w:val="single" w:sz="4" w:space="0" w:color="auto"/>
            </w:tcBorders>
            <w:shd w:val="clear" w:color="auto" w:fill="auto"/>
            <w:noWrap/>
            <w:vAlign w:val="center"/>
            <w:hideMark/>
          </w:tcPr>
          <w:p w14:paraId="4AF3C8E1"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439</w:t>
            </w:r>
          </w:p>
        </w:tc>
      </w:tr>
      <w:tr w:rsidR="0014679B" w:rsidRPr="000B1EE1" w14:paraId="37B01D26" w14:textId="77777777" w:rsidTr="00E73F94">
        <w:trPr>
          <w:trHeight w:val="206"/>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72EB3A2E" w14:textId="77777777" w:rsidR="0014679B" w:rsidRPr="000B1EE1" w:rsidRDefault="0014679B" w:rsidP="006A30CF">
            <w:pPr>
              <w:spacing w:after="0" w:line="240" w:lineRule="auto"/>
              <w:jc w:val="center"/>
              <w:rPr>
                <w:rFonts w:ascii="Calibri" w:eastAsia="Times New Roman" w:hAnsi="Calibri" w:cs="Calibri"/>
                <w:b/>
                <w:bCs/>
                <w:color w:val="000000"/>
                <w:sz w:val="18"/>
                <w:szCs w:val="18"/>
                <w:lang w:eastAsia="cs-CZ"/>
              </w:rPr>
            </w:pPr>
            <w:r w:rsidRPr="000B1EE1">
              <w:rPr>
                <w:rFonts w:ascii="Calibri" w:eastAsia="Times New Roman" w:hAnsi="Calibri" w:cs="Calibri"/>
                <w:b/>
                <w:bCs/>
                <w:color w:val="000000"/>
                <w:sz w:val="18"/>
                <w:szCs w:val="18"/>
                <w:lang w:eastAsia="cs-CZ"/>
              </w:rPr>
              <w:t>2019</w:t>
            </w:r>
          </w:p>
        </w:tc>
        <w:tc>
          <w:tcPr>
            <w:tcW w:w="744" w:type="dxa"/>
            <w:tcBorders>
              <w:top w:val="nil"/>
              <w:left w:val="nil"/>
              <w:bottom w:val="single" w:sz="4" w:space="0" w:color="auto"/>
              <w:right w:val="single" w:sz="4" w:space="0" w:color="auto"/>
            </w:tcBorders>
            <w:shd w:val="clear" w:color="auto" w:fill="auto"/>
            <w:noWrap/>
            <w:vAlign w:val="center"/>
            <w:hideMark/>
          </w:tcPr>
          <w:p w14:paraId="4523FDE2"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1 000</w:t>
            </w:r>
          </w:p>
        </w:tc>
        <w:tc>
          <w:tcPr>
            <w:tcW w:w="992" w:type="dxa"/>
            <w:tcBorders>
              <w:top w:val="nil"/>
              <w:left w:val="nil"/>
              <w:bottom w:val="single" w:sz="4" w:space="0" w:color="auto"/>
              <w:right w:val="single" w:sz="4" w:space="0" w:color="auto"/>
            </w:tcBorders>
            <w:shd w:val="clear" w:color="auto" w:fill="auto"/>
            <w:noWrap/>
            <w:vAlign w:val="center"/>
            <w:hideMark/>
          </w:tcPr>
          <w:p w14:paraId="10CF94A8"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723</w:t>
            </w:r>
          </w:p>
        </w:tc>
        <w:tc>
          <w:tcPr>
            <w:tcW w:w="993" w:type="dxa"/>
            <w:tcBorders>
              <w:top w:val="nil"/>
              <w:left w:val="nil"/>
              <w:bottom w:val="single" w:sz="4" w:space="0" w:color="auto"/>
              <w:right w:val="single" w:sz="4" w:space="0" w:color="auto"/>
            </w:tcBorders>
            <w:shd w:val="clear" w:color="auto" w:fill="auto"/>
            <w:noWrap/>
            <w:vAlign w:val="center"/>
            <w:hideMark/>
          </w:tcPr>
          <w:p w14:paraId="0686A470" w14:textId="32BA0CF5"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w:t>
            </w:r>
            <w:r w:rsidR="004305E5">
              <w:rPr>
                <w:rFonts w:ascii="Calibri" w:eastAsia="Times New Roman" w:hAnsi="Calibri" w:cs="Calibri"/>
                <w:color w:val="000000"/>
                <w:sz w:val="18"/>
                <w:szCs w:val="18"/>
                <w:lang w:eastAsia="cs-CZ"/>
              </w:rPr>
              <w:t xml:space="preserve"> </w:t>
            </w:r>
            <w:r w:rsidRPr="000B1EE1">
              <w:rPr>
                <w:rFonts w:ascii="Calibri" w:eastAsia="Times New Roman" w:hAnsi="Calibri" w:cs="Calibri"/>
                <w:color w:val="000000"/>
                <w:sz w:val="18"/>
                <w:szCs w:val="18"/>
                <w:lang w:eastAsia="cs-CZ"/>
              </w:rPr>
              <w:t>490</w:t>
            </w:r>
          </w:p>
        </w:tc>
        <w:tc>
          <w:tcPr>
            <w:tcW w:w="567" w:type="dxa"/>
            <w:tcBorders>
              <w:top w:val="nil"/>
              <w:left w:val="nil"/>
              <w:bottom w:val="single" w:sz="4" w:space="0" w:color="auto"/>
              <w:right w:val="single" w:sz="4" w:space="0" w:color="auto"/>
            </w:tcBorders>
            <w:shd w:val="clear" w:color="auto" w:fill="auto"/>
            <w:noWrap/>
            <w:vAlign w:val="center"/>
            <w:hideMark/>
          </w:tcPr>
          <w:p w14:paraId="765F0106"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5,6</w:t>
            </w:r>
          </w:p>
        </w:tc>
        <w:tc>
          <w:tcPr>
            <w:tcW w:w="1417" w:type="dxa"/>
            <w:tcBorders>
              <w:top w:val="nil"/>
              <w:left w:val="nil"/>
              <w:bottom w:val="single" w:sz="4" w:space="0" w:color="auto"/>
              <w:right w:val="single" w:sz="4" w:space="0" w:color="auto"/>
            </w:tcBorders>
            <w:shd w:val="clear" w:color="auto" w:fill="auto"/>
            <w:noWrap/>
            <w:vAlign w:val="center"/>
            <w:hideMark/>
          </w:tcPr>
          <w:p w14:paraId="35B7470E"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2,9</w:t>
            </w:r>
          </w:p>
        </w:tc>
        <w:tc>
          <w:tcPr>
            <w:tcW w:w="1134" w:type="dxa"/>
            <w:tcBorders>
              <w:top w:val="nil"/>
              <w:left w:val="nil"/>
              <w:bottom w:val="single" w:sz="4" w:space="0" w:color="auto"/>
              <w:right w:val="single" w:sz="4" w:space="0" w:color="auto"/>
            </w:tcBorders>
            <w:shd w:val="clear" w:color="auto" w:fill="auto"/>
            <w:noWrap/>
            <w:vAlign w:val="center"/>
            <w:hideMark/>
          </w:tcPr>
          <w:p w14:paraId="532DB1F0"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6,5</w:t>
            </w:r>
          </w:p>
        </w:tc>
        <w:tc>
          <w:tcPr>
            <w:tcW w:w="567" w:type="dxa"/>
            <w:tcBorders>
              <w:top w:val="nil"/>
              <w:left w:val="nil"/>
              <w:bottom w:val="single" w:sz="4" w:space="0" w:color="auto"/>
              <w:right w:val="single" w:sz="4" w:space="0" w:color="auto"/>
            </w:tcBorders>
            <w:shd w:val="clear" w:color="auto" w:fill="auto"/>
            <w:noWrap/>
            <w:vAlign w:val="center"/>
            <w:hideMark/>
          </w:tcPr>
          <w:p w14:paraId="1B101377"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378</w:t>
            </w:r>
          </w:p>
        </w:tc>
        <w:tc>
          <w:tcPr>
            <w:tcW w:w="1172" w:type="dxa"/>
            <w:tcBorders>
              <w:top w:val="nil"/>
              <w:left w:val="nil"/>
              <w:bottom w:val="single" w:sz="4" w:space="0" w:color="auto"/>
              <w:right w:val="single" w:sz="4" w:space="0" w:color="auto"/>
            </w:tcBorders>
            <w:shd w:val="clear" w:color="auto" w:fill="auto"/>
            <w:noWrap/>
            <w:vAlign w:val="center"/>
            <w:hideMark/>
          </w:tcPr>
          <w:p w14:paraId="52C77673"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259</w:t>
            </w:r>
          </w:p>
        </w:tc>
        <w:tc>
          <w:tcPr>
            <w:tcW w:w="949" w:type="dxa"/>
            <w:tcBorders>
              <w:top w:val="nil"/>
              <w:left w:val="nil"/>
              <w:bottom w:val="single" w:sz="4" w:space="0" w:color="auto"/>
              <w:right w:val="single" w:sz="4" w:space="0" w:color="auto"/>
            </w:tcBorders>
            <w:shd w:val="clear" w:color="auto" w:fill="auto"/>
            <w:noWrap/>
            <w:vAlign w:val="center"/>
            <w:hideMark/>
          </w:tcPr>
          <w:p w14:paraId="4917F8C9"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459</w:t>
            </w:r>
          </w:p>
        </w:tc>
      </w:tr>
      <w:tr w:rsidR="0014679B" w:rsidRPr="000B1EE1" w14:paraId="1365D4FB" w14:textId="77777777" w:rsidTr="00E73F94">
        <w:trPr>
          <w:trHeight w:val="206"/>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7A5B0462" w14:textId="77777777" w:rsidR="0014679B" w:rsidRPr="000B1EE1" w:rsidRDefault="0014679B" w:rsidP="006A30CF">
            <w:pPr>
              <w:spacing w:after="0" w:line="240" w:lineRule="auto"/>
              <w:jc w:val="center"/>
              <w:rPr>
                <w:rFonts w:ascii="Calibri" w:eastAsia="Times New Roman" w:hAnsi="Calibri" w:cs="Calibri"/>
                <w:b/>
                <w:bCs/>
                <w:color w:val="000000"/>
                <w:sz w:val="18"/>
                <w:szCs w:val="18"/>
                <w:lang w:eastAsia="cs-CZ"/>
              </w:rPr>
            </w:pPr>
            <w:r w:rsidRPr="000B1EE1">
              <w:rPr>
                <w:rFonts w:ascii="Calibri" w:eastAsia="Times New Roman" w:hAnsi="Calibri" w:cs="Calibri"/>
                <w:b/>
                <w:bCs/>
                <w:color w:val="000000"/>
                <w:sz w:val="18"/>
                <w:szCs w:val="18"/>
                <w:lang w:eastAsia="cs-CZ"/>
              </w:rPr>
              <w:t>2020</w:t>
            </w:r>
          </w:p>
        </w:tc>
        <w:tc>
          <w:tcPr>
            <w:tcW w:w="744" w:type="dxa"/>
            <w:tcBorders>
              <w:top w:val="nil"/>
              <w:left w:val="nil"/>
              <w:bottom w:val="single" w:sz="4" w:space="0" w:color="auto"/>
              <w:right w:val="single" w:sz="4" w:space="0" w:color="auto"/>
            </w:tcBorders>
            <w:shd w:val="clear" w:color="auto" w:fill="auto"/>
            <w:noWrap/>
            <w:vAlign w:val="center"/>
            <w:hideMark/>
          </w:tcPr>
          <w:p w14:paraId="10C40BAE"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995</w:t>
            </w:r>
          </w:p>
        </w:tc>
        <w:tc>
          <w:tcPr>
            <w:tcW w:w="992" w:type="dxa"/>
            <w:tcBorders>
              <w:top w:val="nil"/>
              <w:left w:val="nil"/>
              <w:bottom w:val="single" w:sz="4" w:space="0" w:color="auto"/>
              <w:right w:val="single" w:sz="4" w:space="0" w:color="auto"/>
            </w:tcBorders>
            <w:shd w:val="clear" w:color="auto" w:fill="auto"/>
            <w:noWrap/>
            <w:vAlign w:val="center"/>
            <w:hideMark/>
          </w:tcPr>
          <w:p w14:paraId="4C00D13A"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727</w:t>
            </w:r>
          </w:p>
        </w:tc>
        <w:tc>
          <w:tcPr>
            <w:tcW w:w="993" w:type="dxa"/>
            <w:tcBorders>
              <w:top w:val="nil"/>
              <w:left w:val="nil"/>
              <w:bottom w:val="single" w:sz="4" w:space="0" w:color="auto"/>
              <w:right w:val="single" w:sz="4" w:space="0" w:color="auto"/>
            </w:tcBorders>
            <w:shd w:val="clear" w:color="auto" w:fill="auto"/>
            <w:noWrap/>
            <w:vAlign w:val="center"/>
            <w:hideMark/>
          </w:tcPr>
          <w:p w14:paraId="56676EB1"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1 419</w:t>
            </w:r>
          </w:p>
        </w:tc>
        <w:tc>
          <w:tcPr>
            <w:tcW w:w="567" w:type="dxa"/>
            <w:tcBorders>
              <w:top w:val="nil"/>
              <w:left w:val="nil"/>
              <w:bottom w:val="single" w:sz="4" w:space="0" w:color="auto"/>
              <w:right w:val="single" w:sz="4" w:space="0" w:color="auto"/>
            </w:tcBorders>
            <w:shd w:val="clear" w:color="auto" w:fill="auto"/>
            <w:noWrap/>
            <w:vAlign w:val="center"/>
            <w:hideMark/>
          </w:tcPr>
          <w:p w14:paraId="590E6739"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3,8</w:t>
            </w:r>
          </w:p>
        </w:tc>
        <w:tc>
          <w:tcPr>
            <w:tcW w:w="1417" w:type="dxa"/>
            <w:tcBorders>
              <w:top w:val="nil"/>
              <w:left w:val="nil"/>
              <w:bottom w:val="single" w:sz="4" w:space="0" w:color="auto"/>
              <w:right w:val="single" w:sz="4" w:space="0" w:color="auto"/>
            </w:tcBorders>
            <w:shd w:val="clear" w:color="auto" w:fill="auto"/>
            <w:noWrap/>
            <w:vAlign w:val="center"/>
            <w:hideMark/>
          </w:tcPr>
          <w:p w14:paraId="189AD744"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1,4</w:t>
            </w:r>
          </w:p>
        </w:tc>
        <w:tc>
          <w:tcPr>
            <w:tcW w:w="1134" w:type="dxa"/>
            <w:tcBorders>
              <w:top w:val="nil"/>
              <w:left w:val="nil"/>
              <w:bottom w:val="single" w:sz="4" w:space="0" w:color="auto"/>
              <w:right w:val="single" w:sz="4" w:space="0" w:color="auto"/>
            </w:tcBorders>
            <w:shd w:val="clear" w:color="auto" w:fill="auto"/>
            <w:noWrap/>
            <w:vAlign w:val="center"/>
            <w:hideMark/>
          </w:tcPr>
          <w:p w14:paraId="07411237"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4,6</w:t>
            </w:r>
          </w:p>
        </w:tc>
        <w:tc>
          <w:tcPr>
            <w:tcW w:w="567" w:type="dxa"/>
            <w:tcBorders>
              <w:top w:val="nil"/>
              <w:left w:val="nil"/>
              <w:bottom w:val="single" w:sz="4" w:space="0" w:color="auto"/>
              <w:right w:val="single" w:sz="4" w:space="0" w:color="auto"/>
            </w:tcBorders>
            <w:shd w:val="clear" w:color="auto" w:fill="auto"/>
            <w:noWrap/>
            <w:vAlign w:val="center"/>
            <w:hideMark/>
          </w:tcPr>
          <w:p w14:paraId="66647888"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247</w:t>
            </w:r>
          </w:p>
        </w:tc>
        <w:tc>
          <w:tcPr>
            <w:tcW w:w="1172" w:type="dxa"/>
            <w:tcBorders>
              <w:top w:val="nil"/>
              <w:left w:val="nil"/>
              <w:bottom w:val="single" w:sz="4" w:space="0" w:color="auto"/>
              <w:right w:val="single" w:sz="4" w:space="0" w:color="auto"/>
            </w:tcBorders>
            <w:shd w:val="clear" w:color="auto" w:fill="auto"/>
            <w:noWrap/>
            <w:vAlign w:val="center"/>
            <w:hideMark/>
          </w:tcPr>
          <w:p w14:paraId="3770EE38"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155</w:t>
            </w:r>
          </w:p>
        </w:tc>
        <w:tc>
          <w:tcPr>
            <w:tcW w:w="949" w:type="dxa"/>
            <w:tcBorders>
              <w:top w:val="nil"/>
              <w:left w:val="nil"/>
              <w:bottom w:val="single" w:sz="4" w:space="0" w:color="auto"/>
              <w:right w:val="single" w:sz="4" w:space="0" w:color="auto"/>
            </w:tcBorders>
            <w:shd w:val="clear" w:color="auto" w:fill="auto"/>
            <w:noWrap/>
            <w:vAlign w:val="center"/>
            <w:hideMark/>
          </w:tcPr>
          <w:p w14:paraId="026FBB01"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312</w:t>
            </w:r>
          </w:p>
        </w:tc>
      </w:tr>
      <w:tr w:rsidR="0014679B" w:rsidRPr="000B1EE1" w14:paraId="20173983" w14:textId="77777777" w:rsidTr="00E73F94">
        <w:trPr>
          <w:trHeight w:val="206"/>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44A85CD4" w14:textId="77777777" w:rsidR="0014679B" w:rsidRPr="000B1EE1" w:rsidRDefault="0014679B" w:rsidP="006A30CF">
            <w:pPr>
              <w:spacing w:after="0" w:line="240" w:lineRule="auto"/>
              <w:jc w:val="center"/>
              <w:rPr>
                <w:rFonts w:ascii="Calibri" w:eastAsia="Times New Roman" w:hAnsi="Calibri" w:cs="Calibri"/>
                <w:b/>
                <w:bCs/>
                <w:color w:val="000000"/>
                <w:sz w:val="18"/>
                <w:szCs w:val="18"/>
                <w:lang w:eastAsia="cs-CZ"/>
              </w:rPr>
            </w:pPr>
            <w:r w:rsidRPr="000B1EE1">
              <w:rPr>
                <w:rFonts w:ascii="Calibri" w:eastAsia="Times New Roman" w:hAnsi="Calibri" w:cs="Calibri"/>
                <w:b/>
                <w:bCs/>
                <w:color w:val="000000"/>
                <w:sz w:val="18"/>
                <w:szCs w:val="18"/>
                <w:lang w:eastAsia="cs-CZ"/>
              </w:rPr>
              <w:t>2021</w:t>
            </w:r>
          </w:p>
        </w:tc>
        <w:tc>
          <w:tcPr>
            <w:tcW w:w="744" w:type="dxa"/>
            <w:tcBorders>
              <w:top w:val="nil"/>
              <w:left w:val="nil"/>
              <w:bottom w:val="single" w:sz="4" w:space="0" w:color="auto"/>
              <w:right w:val="single" w:sz="4" w:space="0" w:color="auto"/>
            </w:tcBorders>
            <w:shd w:val="clear" w:color="auto" w:fill="auto"/>
            <w:noWrap/>
            <w:vAlign w:val="center"/>
            <w:hideMark/>
          </w:tcPr>
          <w:p w14:paraId="09FE11FA"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1 013</w:t>
            </w:r>
          </w:p>
        </w:tc>
        <w:tc>
          <w:tcPr>
            <w:tcW w:w="992" w:type="dxa"/>
            <w:tcBorders>
              <w:top w:val="nil"/>
              <w:left w:val="nil"/>
              <w:bottom w:val="single" w:sz="4" w:space="0" w:color="auto"/>
              <w:right w:val="single" w:sz="4" w:space="0" w:color="auto"/>
            </w:tcBorders>
            <w:shd w:val="clear" w:color="auto" w:fill="auto"/>
            <w:noWrap/>
            <w:vAlign w:val="center"/>
            <w:hideMark/>
          </w:tcPr>
          <w:p w14:paraId="730458F1"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735</w:t>
            </w:r>
          </w:p>
        </w:tc>
        <w:tc>
          <w:tcPr>
            <w:tcW w:w="993" w:type="dxa"/>
            <w:tcBorders>
              <w:top w:val="nil"/>
              <w:left w:val="nil"/>
              <w:bottom w:val="single" w:sz="4" w:space="0" w:color="auto"/>
              <w:right w:val="single" w:sz="4" w:space="0" w:color="auto"/>
            </w:tcBorders>
            <w:shd w:val="clear" w:color="auto" w:fill="auto"/>
            <w:noWrap/>
            <w:vAlign w:val="center"/>
            <w:hideMark/>
          </w:tcPr>
          <w:p w14:paraId="08D50D71"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1 559</w:t>
            </w:r>
          </w:p>
        </w:tc>
        <w:tc>
          <w:tcPr>
            <w:tcW w:w="567" w:type="dxa"/>
            <w:tcBorders>
              <w:top w:val="nil"/>
              <w:left w:val="nil"/>
              <w:bottom w:val="single" w:sz="4" w:space="0" w:color="auto"/>
              <w:right w:val="single" w:sz="4" w:space="0" w:color="auto"/>
            </w:tcBorders>
            <w:shd w:val="clear" w:color="auto" w:fill="auto"/>
            <w:noWrap/>
            <w:vAlign w:val="center"/>
            <w:hideMark/>
          </w:tcPr>
          <w:p w14:paraId="70714D23"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3,5</w:t>
            </w:r>
          </w:p>
        </w:tc>
        <w:tc>
          <w:tcPr>
            <w:tcW w:w="1417" w:type="dxa"/>
            <w:tcBorders>
              <w:top w:val="nil"/>
              <w:left w:val="nil"/>
              <w:bottom w:val="single" w:sz="4" w:space="0" w:color="auto"/>
              <w:right w:val="single" w:sz="4" w:space="0" w:color="auto"/>
            </w:tcBorders>
            <w:shd w:val="clear" w:color="auto" w:fill="auto"/>
            <w:noWrap/>
            <w:vAlign w:val="center"/>
            <w:hideMark/>
          </w:tcPr>
          <w:p w14:paraId="45A9348C"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0,7</w:t>
            </w:r>
          </w:p>
        </w:tc>
        <w:tc>
          <w:tcPr>
            <w:tcW w:w="1134" w:type="dxa"/>
            <w:tcBorders>
              <w:top w:val="nil"/>
              <w:left w:val="nil"/>
              <w:bottom w:val="single" w:sz="4" w:space="0" w:color="auto"/>
              <w:right w:val="single" w:sz="4" w:space="0" w:color="auto"/>
            </w:tcBorders>
            <w:shd w:val="clear" w:color="auto" w:fill="auto"/>
            <w:noWrap/>
            <w:vAlign w:val="center"/>
            <w:hideMark/>
          </w:tcPr>
          <w:p w14:paraId="0751AA04"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4,7</w:t>
            </w:r>
          </w:p>
        </w:tc>
        <w:tc>
          <w:tcPr>
            <w:tcW w:w="567" w:type="dxa"/>
            <w:tcBorders>
              <w:top w:val="nil"/>
              <w:left w:val="nil"/>
              <w:bottom w:val="single" w:sz="4" w:space="0" w:color="auto"/>
              <w:right w:val="single" w:sz="4" w:space="0" w:color="auto"/>
            </w:tcBorders>
            <w:shd w:val="clear" w:color="auto" w:fill="auto"/>
            <w:noWrap/>
            <w:vAlign w:val="center"/>
            <w:hideMark/>
          </w:tcPr>
          <w:p w14:paraId="62F4160C"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227</w:t>
            </w:r>
          </w:p>
        </w:tc>
        <w:tc>
          <w:tcPr>
            <w:tcW w:w="1172" w:type="dxa"/>
            <w:tcBorders>
              <w:top w:val="nil"/>
              <w:left w:val="nil"/>
              <w:bottom w:val="single" w:sz="4" w:space="0" w:color="auto"/>
              <w:right w:val="single" w:sz="4" w:space="0" w:color="auto"/>
            </w:tcBorders>
            <w:shd w:val="clear" w:color="auto" w:fill="auto"/>
            <w:noWrap/>
            <w:vAlign w:val="center"/>
            <w:hideMark/>
          </w:tcPr>
          <w:p w14:paraId="48FEA5D9"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152</w:t>
            </w:r>
          </w:p>
        </w:tc>
        <w:tc>
          <w:tcPr>
            <w:tcW w:w="949" w:type="dxa"/>
            <w:tcBorders>
              <w:top w:val="nil"/>
              <w:left w:val="nil"/>
              <w:bottom w:val="single" w:sz="4" w:space="0" w:color="auto"/>
              <w:right w:val="single" w:sz="4" w:space="0" w:color="auto"/>
            </w:tcBorders>
            <w:shd w:val="clear" w:color="auto" w:fill="auto"/>
            <w:noWrap/>
            <w:vAlign w:val="center"/>
            <w:hideMark/>
          </w:tcPr>
          <w:p w14:paraId="6C2D475A"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326</w:t>
            </w:r>
          </w:p>
        </w:tc>
      </w:tr>
      <w:tr w:rsidR="0014679B" w:rsidRPr="000B1EE1" w14:paraId="0BA245B0" w14:textId="77777777" w:rsidTr="00E73F94">
        <w:trPr>
          <w:trHeight w:val="206"/>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36062D22" w14:textId="77777777" w:rsidR="0014679B" w:rsidRPr="000B1EE1" w:rsidRDefault="0014679B" w:rsidP="006A30CF">
            <w:pPr>
              <w:spacing w:after="0" w:line="240" w:lineRule="auto"/>
              <w:jc w:val="center"/>
              <w:rPr>
                <w:rFonts w:ascii="Calibri" w:eastAsia="Times New Roman" w:hAnsi="Calibri" w:cs="Calibri"/>
                <w:b/>
                <w:bCs/>
                <w:color w:val="000000"/>
                <w:sz w:val="18"/>
                <w:szCs w:val="18"/>
                <w:lang w:eastAsia="cs-CZ"/>
              </w:rPr>
            </w:pPr>
            <w:r w:rsidRPr="000B1EE1">
              <w:rPr>
                <w:rFonts w:ascii="Calibri" w:eastAsia="Times New Roman" w:hAnsi="Calibri" w:cs="Calibri"/>
                <w:b/>
                <w:bCs/>
                <w:color w:val="000000"/>
                <w:sz w:val="18"/>
                <w:szCs w:val="18"/>
                <w:lang w:eastAsia="cs-CZ"/>
              </w:rPr>
              <w:t>2022</w:t>
            </w:r>
          </w:p>
        </w:tc>
        <w:tc>
          <w:tcPr>
            <w:tcW w:w="744" w:type="dxa"/>
            <w:tcBorders>
              <w:top w:val="nil"/>
              <w:left w:val="nil"/>
              <w:bottom w:val="single" w:sz="4" w:space="0" w:color="auto"/>
              <w:right w:val="single" w:sz="4" w:space="0" w:color="auto"/>
            </w:tcBorders>
            <w:shd w:val="clear" w:color="auto" w:fill="auto"/>
            <w:noWrap/>
            <w:vAlign w:val="center"/>
            <w:hideMark/>
          </w:tcPr>
          <w:p w14:paraId="25FE4353"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992</w:t>
            </w:r>
          </w:p>
        </w:tc>
        <w:tc>
          <w:tcPr>
            <w:tcW w:w="992" w:type="dxa"/>
            <w:tcBorders>
              <w:top w:val="nil"/>
              <w:left w:val="nil"/>
              <w:bottom w:val="single" w:sz="4" w:space="0" w:color="auto"/>
              <w:right w:val="single" w:sz="4" w:space="0" w:color="auto"/>
            </w:tcBorders>
            <w:shd w:val="clear" w:color="auto" w:fill="auto"/>
            <w:noWrap/>
            <w:vAlign w:val="center"/>
            <w:hideMark/>
          </w:tcPr>
          <w:p w14:paraId="2669960E"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723</w:t>
            </w:r>
          </w:p>
        </w:tc>
        <w:tc>
          <w:tcPr>
            <w:tcW w:w="993" w:type="dxa"/>
            <w:tcBorders>
              <w:top w:val="nil"/>
              <w:left w:val="nil"/>
              <w:bottom w:val="single" w:sz="4" w:space="0" w:color="auto"/>
              <w:right w:val="single" w:sz="4" w:space="0" w:color="auto"/>
            </w:tcBorders>
            <w:shd w:val="clear" w:color="auto" w:fill="auto"/>
            <w:noWrap/>
            <w:vAlign w:val="center"/>
            <w:hideMark/>
          </w:tcPr>
          <w:p w14:paraId="3BAE54D4"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1 572</w:t>
            </w:r>
          </w:p>
        </w:tc>
        <w:tc>
          <w:tcPr>
            <w:tcW w:w="567" w:type="dxa"/>
            <w:tcBorders>
              <w:top w:val="nil"/>
              <w:left w:val="nil"/>
              <w:bottom w:val="single" w:sz="4" w:space="0" w:color="auto"/>
              <w:right w:val="single" w:sz="4" w:space="0" w:color="auto"/>
            </w:tcBorders>
            <w:shd w:val="clear" w:color="auto" w:fill="auto"/>
            <w:noWrap/>
            <w:vAlign w:val="center"/>
            <w:hideMark/>
          </w:tcPr>
          <w:p w14:paraId="29F91645"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4,6</w:t>
            </w:r>
          </w:p>
        </w:tc>
        <w:tc>
          <w:tcPr>
            <w:tcW w:w="1417" w:type="dxa"/>
            <w:tcBorders>
              <w:top w:val="nil"/>
              <w:left w:val="nil"/>
              <w:bottom w:val="single" w:sz="4" w:space="0" w:color="auto"/>
              <w:right w:val="single" w:sz="4" w:space="0" w:color="auto"/>
            </w:tcBorders>
            <w:shd w:val="clear" w:color="auto" w:fill="auto"/>
            <w:noWrap/>
            <w:vAlign w:val="center"/>
            <w:hideMark/>
          </w:tcPr>
          <w:p w14:paraId="53D812F5"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0,9</w:t>
            </w:r>
          </w:p>
        </w:tc>
        <w:tc>
          <w:tcPr>
            <w:tcW w:w="1134" w:type="dxa"/>
            <w:tcBorders>
              <w:top w:val="nil"/>
              <w:left w:val="nil"/>
              <w:bottom w:val="single" w:sz="4" w:space="0" w:color="auto"/>
              <w:right w:val="single" w:sz="4" w:space="0" w:color="auto"/>
            </w:tcBorders>
            <w:shd w:val="clear" w:color="auto" w:fill="auto"/>
            <w:noWrap/>
            <w:vAlign w:val="center"/>
            <w:hideMark/>
          </w:tcPr>
          <w:p w14:paraId="235C1C32"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6,7</w:t>
            </w:r>
          </w:p>
        </w:tc>
        <w:tc>
          <w:tcPr>
            <w:tcW w:w="567" w:type="dxa"/>
            <w:tcBorders>
              <w:top w:val="nil"/>
              <w:left w:val="nil"/>
              <w:bottom w:val="single" w:sz="4" w:space="0" w:color="auto"/>
              <w:right w:val="single" w:sz="4" w:space="0" w:color="auto"/>
            </w:tcBorders>
            <w:shd w:val="clear" w:color="auto" w:fill="auto"/>
            <w:noWrap/>
            <w:vAlign w:val="center"/>
            <w:hideMark/>
          </w:tcPr>
          <w:p w14:paraId="1FB25FD1"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427</w:t>
            </w:r>
          </w:p>
        </w:tc>
        <w:tc>
          <w:tcPr>
            <w:tcW w:w="1172" w:type="dxa"/>
            <w:tcBorders>
              <w:top w:val="nil"/>
              <w:left w:val="nil"/>
              <w:bottom w:val="single" w:sz="4" w:space="0" w:color="auto"/>
              <w:right w:val="single" w:sz="4" w:space="0" w:color="auto"/>
            </w:tcBorders>
            <w:shd w:val="clear" w:color="auto" w:fill="auto"/>
            <w:noWrap/>
            <w:vAlign w:val="center"/>
            <w:hideMark/>
          </w:tcPr>
          <w:p w14:paraId="19128A81"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290</w:t>
            </w:r>
          </w:p>
        </w:tc>
        <w:tc>
          <w:tcPr>
            <w:tcW w:w="949" w:type="dxa"/>
            <w:tcBorders>
              <w:top w:val="nil"/>
              <w:left w:val="nil"/>
              <w:bottom w:val="single" w:sz="4" w:space="0" w:color="auto"/>
              <w:right w:val="single" w:sz="4" w:space="0" w:color="auto"/>
            </w:tcBorders>
            <w:shd w:val="clear" w:color="auto" w:fill="auto"/>
            <w:noWrap/>
            <w:vAlign w:val="center"/>
            <w:hideMark/>
          </w:tcPr>
          <w:p w14:paraId="77582577"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571</w:t>
            </w:r>
          </w:p>
        </w:tc>
      </w:tr>
      <w:tr w:rsidR="0014679B" w:rsidRPr="000B1EE1" w14:paraId="2B0BADF5" w14:textId="77777777" w:rsidTr="00E73F94">
        <w:trPr>
          <w:trHeight w:val="206"/>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6B58235D" w14:textId="77777777" w:rsidR="0014679B" w:rsidRPr="000B1EE1" w:rsidRDefault="0014679B" w:rsidP="006A30CF">
            <w:pPr>
              <w:spacing w:after="0" w:line="240" w:lineRule="auto"/>
              <w:jc w:val="center"/>
              <w:rPr>
                <w:rFonts w:ascii="Calibri" w:eastAsia="Times New Roman" w:hAnsi="Calibri" w:cs="Calibri"/>
                <w:b/>
                <w:bCs/>
                <w:color w:val="000000"/>
                <w:sz w:val="18"/>
                <w:szCs w:val="18"/>
                <w:lang w:eastAsia="cs-CZ"/>
              </w:rPr>
            </w:pPr>
            <w:r w:rsidRPr="000B1EE1">
              <w:rPr>
                <w:rFonts w:ascii="Calibri" w:eastAsia="Times New Roman" w:hAnsi="Calibri" w:cs="Calibri"/>
                <w:b/>
                <w:bCs/>
                <w:color w:val="000000"/>
                <w:sz w:val="18"/>
                <w:szCs w:val="18"/>
                <w:lang w:eastAsia="cs-CZ"/>
              </w:rPr>
              <w:t>2023</w:t>
            </w:r>
          </w:p>
        </w:tc>
        <w:tc>
          <w:tcPr>
            <w:tcW w:w="744" w:type="dxa"/>
            <w:tcBorders>
              <w:top w:val="nil"/>
              <w:left w:val="nil"/>
              <w:bottom w:val="single" w:sz="4" w:space="0" w:color="auto"/>
              <w:right w:val="single" w:sz="4" w:space="0" w:color="auto"/>
            </w:tcBorders>
            <w:shd w:val="clear" w:color="auto" w:fill="auto"/>
            <w:noWrap/>
            <w:vAlign w:val="center"/>
            <w:hideMark/>
          </w:tcPr>
          <w:p w14:paraId="2F5189FE"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1 110</w:t>
            </w:r>
          </w:p>
        </w:tc>
        <w:tc>
          <w:tcPr>
            <w:tcW w:w="992" w:type="dxa"/>
            <w:tcBorders>
              <w:top w:val="nil"/>
              <w:left w:val="nil"/>
              <w:bottom w:val="single" w:sz="4" w:space="0" w:color="auto"/>
              <w:right w:val="single" w:sz="4" w:space="0" w:color="auto"/>
            </w:tcBorders>
            <w:shd w:val="clear" w:color="auto" w:fill="auto"/>
            <w:noWrap/>
            <w:vAlign w:val="center"/>
            <w:hideMark/>
          </w:tcPr>
          <w:p w14:paraId="66279BA1"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776</w:t>
            </w:r>
          </w:p>
        </w:tc>
        <w:tc>
          <w:tcPr>
            <w:tcW w:w="993" w:type="dxa"/>
            <w:tcBorders>
              <w:top w:val="nil"/>
              <w:left w:val="nil"/>
              <w:bottom w:val="single" w:sz="4" w:space="0" w:color="auto"/>
              <w:right w:val="single" w:sz="4" w:space="0" w:color="auto"/>
            </w:tcBorders>
            <w:shd w:val="clear" w:color="auto" w:fill="auto"/>
            <w:noWrap/>
            <w:vAlign w:val="center"/>
            <w:hideMark/>
          </w:tcPr>
          <w:p w14:paraId="188A5ED6"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2 609</w:t>
            </w:r>
          </w:p>
        </w:tc>
        <w:tc>
          <w:tcPr>
            <w:tcW w:w="567" w:type="dxa"/>
            <w:tcBorders>
              <w:top w:val="nil"/>
              <w:left w:val="nil"/>
              <w:bottom w:val="single" w:sz="4" w:space="0" w:color="auto"/>
              <w:right w:val="single" w:sz="4" w:space="0" w:color="auto"/>
            </w:tcBorders>
            <w:shd w:val="clear" w:color="auto" w:fill="auto"/>
            <w:noWrap/>
            <w:vAlign w:val="center"/>
            <w:hideMark/>
          </w:tcPr>
          <w:p w14:paraId="0F64E813"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4,6</w:t>
            </w:r>
          </w:p>
        </w:tc>
        <w:tc>
          <w:tcPr>
            <w:tcW w:w="1417" w:type="dxa"/>
            <w:tcBorders>
              <w:top w:val="nil"/>
              <w:left w:val="nil"/>
              <w:bottom w:val="single" w:sz="4" w:space="0" w:color="auto"/>
              <w:right w:val="single" w:sz="4" w:space="0" w:color="auto"/>
            </w:tcBorders>
            <w:shd w:val="clear" w:color="auto" w:fill="auto"/>
            <w:noWrap/>
            <w:vAlign w:val="center"/>
            <w:hideMark/>
          </w:tcPr>
          <w:p w14:paraId="2D27DA73"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1,3</w:t>
            </w:r>
          </w:p>
        </w:tc>
        <w:tc>
          <w:tcPr>
            <w:tcW w:w="1134" w:type="dxa"/>
            <w:tcBorders>
              <w:top w:val="nil"/>
              <w:left w:val="nil"/>
              <w:bottom w:val="single" w:sz="4" w:space="0" w:color="auto"/>
              <w:right w:val="single" w:sz="4" w:space="0" w:color="auto"/>
            </w:tcBorders>
            <w:shd w:val="clear" w:color="auto" w:fill="auto"/>
            <w:noWrap/>
            <w:vAlign w:val="center"/>
            <w:hideMark/>
          </w:tcPr>
          <w:p w14:paraId="6CF4346F"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7,8</w:t>
            </w:r>
          </w:p>
        </w:tc>
        <w:tc>
          <w:tcPr>
            <w:tcW w:w="567" w:type="dxa"/>
            <w:tcBorders>
              <w:top w:val="nil"/>
              <w:left w:val="nil"/>
              <w:bottom w:val="single" w:sz="4" w:space="0" w:color="auto"/>
              <w:right w:val="single" w:sz="4" w:space="0" w:color="auto"/>
            </w:tcBorders>
            <w:shd w:val="clear" w:color="auto" w:fill="auto"/>
            <w:noWrap/>
            <w:vAlign w:val="center"/>
            <w:hideMark/>
          </w:tcPr>
          <w:p w14:paraId="6F8C6B2D"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407</w:t>
            </w:r>
          </w:p>
        </w:tc>
        <w:tc>
          <w:tcPr>
            <w:tcW w:w="1172" w:type="dxa"/>
            <w:tcBorders>
              <w:top w:val="nil"/>
              <w:left w:val="nil"/>
              <w:bottom w:val="single" w:sz="4" w:space="0" w:color="auto"/>
              <w:right w:val="single" w:sz="4" w:space="0" w:color="auto"/>
            </w:tcBorders>
            <w:shd w:val="clear" w:color="auto" w:fill="auto"/>
            <w:noWrap/>
            <w:vAlign w:val="center"/>
            <w:hideMark/>
          </w:tcPr>
          <w:p w14:paraId="78F88A11"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287</w:t>
            </w:r>
          </w:p>
        </w:tc>
        <w:tc>
          <w:tcPr>
            <w:tcW w:w="949" w:type="dxa"/>
            <w:tcBorders>
              <w:top w:val="nil"/>
              <w:left w:val="nil"/>
              <w:bottom w:val="single" w:sz="4" w:space="0" w:color="auto"/>
              <w:right w:val="single" w:sz="4" w:space="0" w:color="auto"/>
            </w:tcBorders>
            <w:shd w:val="clear" w:color="auto" w:fill="auto"/>
            <w:noWrap/>
            <w:vAlign w:val="center"/>
            <w:hideMark/>
          </w:tcPr>
          <w:p w14:paraId="71D59D97" w14:textId="77777777" w:rsidR="0014679B" w:rsidRPr="000B1EE1" w:rsidRDefault="0014679B" w:rsidP="00E73F94">
            <w:pPr>
              <w:spacing w:after="0" w:line="240" w:lineRule="auto"/>
              <w:ind w:right="57"/>
              <w:jc w:val="right"/>
              <w:rPr>
                <w:rFonts w:ascii="Calibri" w:eastAsia="Times New Roman" w:hAnsi="Calibri" w:cs="Calibri"/>
                <w:color w:val="000000"/>
                <w:sz w:val="18"/>
                <w:szCs w:val="18"/>
                <w:lang w:eastAsia="cs-CZ"/>
              </w:rPr>
            </w:pPr>
            <w:r w:rsidRPr="000B1EE1">
              <w:rPr>
                <w:rFonts w:ascii="Calibri" w:eastAsia="Times New Roman" w:hAnsi="Calibri" w:cs="Calibri"/>
                <w:color w:val="000000"/>
                <w:sz w:val="18"/>
                <w:szCs w:val="18"/>
                <w:lang w:eastAsia="cs-CZ"/>
              </w:rPr>
              <w:t>606</w:t>
            </w:r>
          </w:p>
        </w:tc>
      </w:tr>
    </w:tbl>
    <w:p w14:paraId="7A1D4C78" w14:textId="77777777" w:rsidR="0014679B" w:rsidRPr="008E5A1D" w:rsidRDefault="0014679B" w:rsidP="00E73F94">
      <w:pPr>
        <w:spacing w:before="40" w:after="0" w:line="240" w:lineRule="auto"/>
        <w:jc w:val="both"/>
        <w:rPr>
          <w:sz w:val="20"/>
          <w:szCs w:val="20"/>
        </w:rPr>
      </w:pPr>
      <w:r w:rsidRPr="00E73F94">
        <w:rPr>
          <w:b/>
          <w:sz w:val="20"/>
          <w:szCs w:val="20"/>
        </w:rPr>
        <w:t>Zdroj:</w:t>
      </w:r>
      <w:r w:rsidRPr="008E5A1D">
        <w:rPr>
          <w:sz w:val="20"/>
          <w:szCs w:val="20"/>
        </w:rPr>
        <w:t xml:space="preserve"> vypracoval NKÚ na základě dat poskytnutých GFŘ.</w:t>
      </w:r>
    </w:p>
    <w:p w14:paraId="61D911FB" w14:textId="4DF0690A" w:rsidR="007179CF" w:rsidRPr="008E5A1D" w:rsidRDefault="0014679B" w:rsidP="00E73F94">
      <w:pPr>
        <w:spacing w:after="0" w:line="240" w:lineRule="auto"/>
        <w:ind w:left="567" w:hanging="567"/>
        <w:jc w:val="both"/>
        <w:rPr>
          <w:sz w:val="20"/>
          <w:szCs w:val="20"/>
        </w:rPr>
      </w:pPr>
      <w:r w:rsidRPr="00E73F94">
        <w:rPr>
          <w:b/>
          <w:sz w:val="20"/>
          <w:szCs w:val="20"/>
        </w:rPr>
        <w:t xml:space="preserve">Pozn.: </w:t>
      </w:r>
      <w:r w:rsidR="00156899">
        <w:rPr>
          <w:sz w:val="20"/>
          <w:szCs w:val="20"/>
        </w:rPr>
        <w:t>V</w:t>
      </w:r>
      <w:r w:rsidRPr="008E5A1D">
        <w:rPr>
          <w:sz w:val="20"/>
          <w:szCs w:val="20"/>
        </w:rPr>
        <w:t> tabulce jsou uvedeny údaje za celou FS ČR a dva vybrané FÚ s </w:t>
      </w:r>
      <w:r w:rsidR="0059637C" w:rsidRPr="008E5A1D">
        <w:rPr>
          <w:sz w:val="20"/>
          <w:szCs w:val="20"/>
        </w:rPr>
        <w:t>maximáln</w:t>
      </w:r>
      <w:r w:rsidR="00F83611" w:rsidRPr="008E5A1D">
        <w:rPr>
          <w:sz w:val="20"/>
          <w:szCs w:val="20"/>
        </w:rPr>
        <w:t>í</w:t>
      </w:r>
      <w:r w:rsidR="0059637C" w:rsidRPr="008E5A1D">
        <w:rPr>
          <w:sz w:val="20"/>
          <w:szCs w:val="20"/>
        </w:rPr>
        <w:t xml:space="preserve"> a minimáln</w:t>
      </w:r>
      <w:r w:rsidR="00F83611" w:rsidRPr="008E5A1D">
        <w:rPr>
          <w:sz w:val="20"/>
          <w:szCs w:val="20"/>
        </w:rPr>
        <w:t>í</w:t>
      </w:r>
      <w:r w:rsidR="0059637C" w:rsidRPr="008E5A1D">
        <w:rPr>
          <w:sz w:val="20"/>
          <w:szCs w:val="20"/>
        </w:rPr>
        <w:t xml:space="preserve"> </w:t>
      </w:r>
      <w:r w:rsidR="00F83611" w:rsidRPr="008E5A1D">
        <w:rPr>
          <w:sz w:val="20"/>
          <w:szCs w:val="20"/>
        </w:rPr>
        <w:t>průměrnou hodnotou výkon</w:t>
      </w:r>
      <w:r w:rsidR="00D80447">
        <w:rPr>
          <w:sz w:val="20"/>
          <w:szCs w:val="20"/>
        </w:rPr>
        <w:t>n</w:t>
      </w:r>
      <w:r w:rsidR="00F83611" w:rsidRPr="008E5A1D">
        <w:rPr>
          <w:sz w:val="20"/>
          <w:szCs w:val="20"/>
        </w:rPr>
        <w:t>ostních ukazatelů</w:t>
      </w:r>
      <w:r w:rsidRPr="008E5A1D">
        <w:rPr>
          <w:sz w:val="20"/>
          <w:szCs w:val="20"/>
        </w:rPr>
        <w:t xml:space="preserve">. </w:t>
      </w:r>
      <w:r w:rsidR="007179CF" w:rsidRPr="008E5A1D">
        <w:rPr>
          <w:sz w:val="20"/>
          <w:szCs w:val="20"/>
        </w:rPr>
        <w:t>Provedený rozbor je ovlivněn tím, že nezohledňoval náročnost jednotlivých úkonů.</w:t>
      </w:r>
    </w:p>
    <w:p w14:paraId="4266FA7A" w14:textId="1AFA7DF3" w:rsidR="0014679B" w:rsidRPr="007179CF" w:rsidRDefault="0014679B" w:rsidP="00E73F94">
      <w:pPr>
        <w:spacing w:after="0" w:line="240" w:lineRule="auto"/>
        <w:ind w:left="397" w:hanging="397"/>
        <w:jc w:val="both"/>
        <w:rPr>
          <w:sz w:val="20"/>
          <w:szCs w:val="20"/>
        </w:rPr>
      </w:pPr>
      <w:r w:rsidRPr="007179CF">
        <w:rPr>
          <w:sz w:val="20"/>
          <w:szCs w:val="20"/>
        </w:rPr>
        <w:t xml:space="preserve">* </w:t>
      </w:r>
      <w:r w:rsidR="00E73F94">
        <w:rPr>
          <w:sz w:val="20"/>
          <w:szCs w:val="20"/>
        </w:rPr>
        <w:tab/>
      </w:r>
      <w:r w:rsidR="00156899">
        <w:rPr>
          <w:sz w:val="20"/>
          <w:szCs w:val="20"/>
        </w:rPr>
        <w:t>P</w:t>
      </w:r>
      <w:r w:rsidRPr="007179CF">
        <w:rPr>
          <w:sz w:val="20"/>
          <w:szCs w:val="20"/>
        </w:rPr>
        <w:t xml:space="preserve">růměrný počet řádných a opravných DAP a </w:t>
      </w:r>
      <w:proofErr w:type="spellStart"/>
      <w:r w:rsidRPr="007179CF">
        <w:rPr>
          <w:sz w:val="20"/>
          <w:szCs w:val="20"/>
        </w:rPr>
        <w:t>DoDAP</w:t>
      </w:r>
      <w:proofErr w:type="spellEnd"/>
      <w:r w:rsidRPr="007179CF">
        <w:rPr>
          <w:rStyle w:val="Znakapoznpodarou"/>
          <w:rFonts w:cstheme="minorHAnsi"/>
          <w:sz w:val="20"/>
          <w:szCs w:val="20"/>
        </w:rPr>
        <w:footnoteReference w:id="24"/>
      </w:r>
      <w:r w:rsidRPr="007179CF">
        <w:rPr>
          <w:sz w:val="20"/>
          <w:szCs w:val="20"/>
        </w:rPr>
        <w:t xml:space="preserve"> na jednoho zaměstnance.</w:t>
      </w:r>
    </w:p>
    <w:p w14:paraId="03A3FD14" w14:textId="16BE9A89" w:rsidR="0014679B" w:rsidRPr="007179CF" w:rsidRDefault="0014679B" w:rsidP="00E73F94">
      <w:pPr>
        <w:spacing w:after="0" w:line="240" w:lineRule="auto"/>
        <w:ind w:left="397" w:hanging="397"/>
        <w:jc w:val="both"/>
        <w:rPr>
          <w:sz w:val="20"/>
          <w:szCs w:val="20"/>
        </w:rPr>
      </w:pPr>
      <w:r w:rsidRPr="007179CF">
        <w:rPr>
          <w:sz w:val="20"/>
          <w:szCs w:val="20"/>
        </w:rPr>
        <w:t xml:space="preserve">** </w:t>
      </w:r>
      <w:r w:rsidR="00E73F94">
        <w:rPr>
          <w:sz w:val="20"/>
          <w:szCs w:val="20"/>
        </w:rPr>
        <w:tab/>
      </w:r>
      <w:r w:rsidR="00156899">
        <w:rPr>
          <w:sz w:val="20"/>
          <w:szCs w:val="20"/>
        </w:rPr>
        <w:t>P</w:t>
      </w:r>
      <w:r w:rsidRPr="007179CF">
        <w:rPr>
          <w:sz w:val="20"/>
          <w:szCs w:val="20"/>
        </w:rPr>
        <w:t>růměrný počet daňových kontrol a postupů k odstranění pochybností na jednoho zaměstnance.</w:t>
      </w:r>
    </w:p>
    <w:p w14:paraId="4530AB2D" w14:textId="293B49A5" w:rsidR="0014679B" w:rsidRPr="007179CF" w:rsidRDefault="0014679B" w:rsidP="00E73F94">
      <w:pPr>
        <w:spacing w:line="240" w:lineRule="auto"/>
        <w:ind w:left="397" w:hanging="397"/>
        <w:jc w:val="both"/>
        <w:rPr>
          <w:sz w:val="20"/>
          <w:szCs w:val="20"/>
        </w:rPr>
      </w:pPr>
      <w:r w:rsidRPr="007179CF">
        <w:rPr>
          <w:sz w:val="20"/>
          <w:szCs w:val="20"/>
        </w:rPr>
        <w:t>***</w:t>
      </w:r>
      <w:r w:rsidR="00E73F94">
        <w:rPr>
          <w:sz w:val="20"/>
          <w:szCs w:val="20"/>
        </w:rPr>
        <w:tab/>
      </w:r>
      <w:r w:rsidR="00156899">
        <w:rPr>
          <w:sz w:val="20"/>
          <w:szCs w:val="20"/>
        </w:rPr>
        <w:t>P</w:t>
      </w:r>
      <w:r w:rsidRPr="007179CF">
        <w:rPr>
          <w:sz w:val="20"/>
          <w:szCs w:val="20"/>
        </w:rPr>
        <w:t xml:space="preserve">růměrný počet exekučních příkazů a výkonnostních ukazatelů v rámci měkkých forem vymáhání (upozornění prostřednictvím např. </w:t>
      </w:r>
      <w:r w:rsidR="00A57494" w:rsidRPr="007179CF">
        <w:rPr>
          <w:sz w:val="20"/>
          <w:szCs w:val="20"/>
        </w:rPr>
        <w:t>SMS</w:t>
      </w:r>
      <w:r w:rsidRPr="007179CF">
        <w:rPr>
          <w:sz w:val="20"/>
          <w:szCs w:val="20"/>
        </w:rPr>
        <w:t>, e-mailem) na jednoho zaměstnance.</w:t>
      </w:r>
    </w:p>
    <w:p w14:paraId="53547AA7" w14:textId="6048D3B0" w:rsidR="008C3A88" w:rsidRDefault="007179CF" w:rsidP="000E6DA8">
      <w:pPr>
        <w:jc w:val="both"/>
        <w:rPr>
          <w:sz w:val="24"/>
          <w:szCs w:val="24"/>
        </w:rPr>
      </w:pPr>
      <w:r w:rsidRPr="007179CF">
        <w:rPr>
          <w:sz w:val="24"/>
          <w:szCs w:val="24"/>
        </w:rPr>
        <w:t>Z</w:t>
      </w:r>
      <w:r>
        <w:rPr>
          <w:sz w:val="24"/>
          <w:szCs w:val="24"/>
        </w:rPr>
        <w:t> </w:t>
      </w:r>
      <w:r w:rsidR="008C3A88" w:rsidRPr="007179CF">
        <w:rPr>
          <w:sz w:val="24"/>
          <w:szCs w:val="24"/>
        </w:rPr>
        <w:t>tabulky</w:t>
      </w:r>
      <w:r>
        <w:rPr>
          <w:sz w:val="24"/>
          <w:szCs w:val="24"/>
        </w:rPr>
        <w:t xml:space="preserve"> vyplývají</w:t>
      </w:r>
      <w:r w:rsidR="008C3A88" w:rsidRPr="007179CF">
        <w:rPr>
          <w:sz w:val="24"/>
          <w:szCs w:val="24"/>
        </w:rPr>
        <w:t xml:space="preserve"> významné rozdíly v</w:t>
      </w:r>
      <w:r w:rsidR="0013037C">
        <w:rPr>
          <w:sz w:val="24"/>
          <w:szCs w:val="24"/>
        </w:rPr>
        <w:t>e vytíženosti</w:t>
      </w:r>
      <w:r>
        <w:rPr>
          <w:sz w:val="24"/>
          <w:szCs w:val="24"/>
        </w:rPr>
        <w:t xml:space="preserve"> zaměstnanců</w:t>
      </w:r>
      <w:r w:rsidR="008C3A88" w:rsidRPr="007179CF">
        <w:rPr>
          <w:sz w:val="24"/>
          <w:szCs w:val="24"/>
        </w:rPr>
        <w:t xml:space="preserve"> jednotlivých FÚ (</w:t>
      </w:r>
      <w:r w:rsidR="000A163C">
        <w:rPr>
          <w:sz w:val="24"/>
          <w:szCs w:val="24"/>
        </w:rPr>
        <w:t xml:space="preserve">podrobněji </w:t>
      </w:r>
      <w:r w:rsidR="008C3A88" w:rsidRPr="007179CF">
        <w:rPr>
          <w:sz w:val="24"/>
          <w:szCs w:val="24"/>
        </w:rPr>
        <w:t xml:space="preserve">viz </w:t>
      </w:r>
      <w:r w:rsidR="008C3A88" w:rsidRPr="004A6C15">
        <w:rPr>
          <w:sz w:val="24"/>
          <w:szCs w:val="24"/>
        </w:rPr>
        <w:t>příloha</w:t>
      </w:r>
      <w:r w:rsidRPr="004A6C15">
        <w:rPr>
          <w:sz w:val="24"/>
          <w:szCs w:val="24"/>
        </w:rPr>
        <w:t xml:space="preserve"> č. 1</w:t>
      </w:r>
      <w:r w:rsidR="00A57494">
        <w:rPr>
          <w:sz w:val="24"/>
          <w:szCs w:val="24"/>
        </w:rPr>
        <w:t xml:space="preserve"> tohoto kontrolního závěru</w:t>
      </w:r>
      <w:r>
        <w:rPr>
          <w:sz w:val="24"/>
          <w:szCs w:val="24"/>
        </w:rPr>
        <w:t>).</w:t>
      </w:r>
    </w:p>
    <w:p w14:paraId="4BD18DD2" w14:textId="66D36827" w:rsidR="00AD2433" w:rsidRDefault="0010595A" w:rsidP="00565087">
      <w:pPr>
        <w:pStyle w:val="Odstavecseseznamem"/>
        <w:keepNext/>
        <w:spacing w:before="240" w:after="120"/>
        <w:ind w:left="284" w:hanging="284"/>
        <w:contextualSpacing w:val="0"/>
        <w:rPr>
          <w:rFonts w:eastAsia="Calibri" w:cstheme="minorHAnsi"/>
          <w:b/>
          <w:sz w:val="24"/>
          <w:szCs w:val="24"/>
        </w:rPr>
      </w:pPr>
      <w:r>
        <w:rPr>
          <w:rFonts w:eastAsia="Calibri" w:cstheme="minorHAnsi"/>
          <w:b/>
          <w:sz w:val="24"/>
          <w:szCs w:val="24"/>
        </w:rPr>
        <w:t xml:space="preserve">7. </w:t>
      </w:r>
      <w:r w:rsidR="00E73F94">
        <w:rPr>
          <w:rFonts w:eastAsia="Calibri" w:cstheme="minorHAnsi"/>
          <w:b/>
          <w:sz w:val="24"/>
          <w:szCs w:val="24"/>
        </w:rPr>
        <w:tab/>
      </w:r>
      <w:r w:rsidR="0043209A" w:rsidRPr="001114FD">
        <w:rPr>
          <w:rFonts w:eastAsia="Calibri" w:cstheme="minorHAnsi"/>
          <w:b/>
          <w:sz w:val="24"/>
          <w:szCs w:val="24"/>
        </w:rPr>
        <w:t>Na efektivnost správy DPPO</w:t>
      </w:r>
      <w:r w:rsidR="001114FD" w:rsidRPr="001114FD">
        <w:rPr>
          <w:rFonts w:eastAsia="Calibri" w:cstheme="minorHAnsi"/>
          <w:b/>
          <w:sz w:val="24"/>
          <w:szCs w:val="24"/>
        </w:rPr>
        <w:t xml:space="preserve"> mělo pozitivní vliv lepší cílení kontrolní činnosti, úspěšnější vymáhání daňových nedoplatků a růst inkasa DPPO</w:t>
      </w:r>
    </w:p>
    <w:p w14:paraId="7F3A342C" w14:textId="64264CB6" w:rsidR="002321A9" w:rsidRPr="001114FD" w:rsidRDefault="002321A9" w:rsidP="00104E8E">
      <w:pPr>
        <w:pStyle w:val="Odstavecseseznamem"/>
        <w:keepNext/>
        <w:numPr>
          <w:ilvl w:val="0"/>
          <w:numId w:val="58"/>
        </w:numPr>
        <w:tabs>
          <w:tab w:val="left" w:pos="284"/>
        </w:tabs>
        <w:spacing w:before="120" w:after="120"/>
        <w:ind w:left="284" w:hanging="284"/>
        <w:contextualSpacing w:val="0"/>
        <w:jc w:val="both"/>
        <w:rPr>
          <w:sz w:val="24"/>
          <w:szCs w:val="24"/>
        </w:rPr>
      </w:pPr>
      <w:r w:rsidRPr="001114FD">
        <w:rPr>
          <w:rFonts w:cstheme="minorHAnsi"/>
          <w:sz w:val="24"/>
          <w:szCs w:val="24"/>
        </w:rPr>
        <w:t xml:space="preserve">NKÚ zjistil, že úspěšnost kontrolní činnosti mezi roky 2018 a 2023 stoupla o 6,5 </w:t>
      </w:r>
      <w:proofErr w:type="spellStart"/>
      <w:r w:rsidRPr="001114FD">
        <w:rPr>
          <w:rFonts w:cstheme="minorHAnsi"/>
          <w:sz w:val="24"/>
          <w:szCs w:val="24"/>
        </w:rPr>
        <w:t>p.b</w:t>
      </w:r>
      <w:proofErr w:type="spellEnd"/>
      <w:r w:rsidRPr="001114FD">
        <w:rPr>
          <w:rFonts w:cstheme="minorHAnsi"/>
          <w:sz w:val="24"/>
          <w:szCs w:val="24"/>
        </w:rPr>
        <w:t xml:space="preserve">., kdy důvodem bylo lepší cílení na rizikové subjekty. </w:t>
      </w:r>
    </w:p>
    <w:p w14:paraId="76F07A89" w14:textId="6033A93E" w:rsidR="00E72039" w:rsidRPr="00E72039" w:rsidRDefault="00E72039" w:rsidP="00BC7C63">
      <w:pPr>
        <w:keepNext/>
        <w:spacing w:after="0"/>
        <w:jc w:val="both"/>
        <w:rPr>
          <w:b/>
          <w:sz w:val="24"/>
          <w:szCs w:val="24"/>
        </w:rPr>
      </w:pPr>
      <w:r w:rsidRPr="00E72039">
        <w:rPr>
          <w:b/>
          <w:sz w:val="24"/>
          <w:szCs w:val="24"/>
        </w:rPr>
        <w:t xml:space="preserve">Graf č. </w:t>
      </w:r>
      <w:r w:rsidR="00F905B3" w:rsidRPr="00247373">
        <w:rPr>
          <w:b/>
          <w:sz w:val="24"/>
          <w:szCs w:val="24"/>
        </w:rPr>
        <w:t>3</w:t>
      </w:r>
      <w:r w:rsidR="005713F7">
        <w:rPr>
          <w:b/>
          <w:sz w:val="24"/>
          <w:szCs w:val="24"/>
        </w:rPr>
        <w:t>:</w:t>
      </w:r>
      <w:r w:rsidR="005C1D6B">
        <w:rPr>
          <w:b/>
          <w:sz w:val="24"/>
          <w:szCs w:val="24"/>
        </w:rPr>
        <w:t xml:space="preserve"> </w:t>
      </w:r>
      <w:r w:rsidRPr="00E72039">
        <w:rPr>
          <w:b/>
          <w:sz w:val="24"/>
          <w:szCs w:val="24"/>
        </w:rPr>
        <w:t>Úspěšnost zacílení kontrolních postupů v oblasti DPPO v letech 2018 až 2023</w:t>
      </w:r>
    </w:p>
    <w:p w14:paraId="0299D209" w14:textId="77777777" w:rsidR="00E72039" w:rsidRDefault="00E72039" w:rsidP="00A77D8F">
      <w:pPr>
        <w:spacing w:after="0"/>
        <w:jc w:val="both"/>
        <w:rPr>
          <w:sz w:val="24"/>
          <w:szCs w:val="24"/>
        </w:rPr>
      </w:pPr>
      <w:r>
        <w:rPr>
          <w:noProof/>
        </w:rPr>
        <w:drawing>
          <wp:inline distT="0" distB="0" distL="0" distR="0" wp14:anchorId="01F5902D" wp14:editId="1603D86F">
            <wp:extent cx="5760720" cy="1944000"/>
            <wp:effectExtent l="0" t="0" r="0" b="0"/>
            <wp:docPr id="8" name="Graf 8">
              <a:extLst xmlns:a="http://schemas.openxmlformats.org/drawingml/2006/main">
                <a:ext uri="{FF2B5EF4-FFF2-40B4-BE49-F238E27FC236}">
                  <a16:creationId xmlns:a16="http://schemas.microsoft.com/office/drawing/2014/main" id="{28BB2775-32A6-4E00-AE2B-396C31A62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1B44E9" w14:textId="2F84D108" w:rsidR="00E72039" w:rsidRPr="008C1CE4" w:rsidRDefault="00E72039" w:rsidP="005713F7">
      <w:pPr>
        <w:spacing w:after="0" w:line="240" w:lineRule="auto"/>
        <w:ind w:left="567" w:hanging="567"/>
        <w:jc w:val="both"/>
        <w:rPr>
          <w:sz w:val="20"/>
          <w:szCs w:val="20"/>
        </w:rPr>
      </w:pPr>
      <w:r w:rsidRPr="00A77D8F">
        <w:rPr>
          <w:b/>
          <w:sz w:val="20"/>
          <w:szCs w:val="20"/>
        </w:rPr>
        <w:t xml:space="preserve">Zdroj: </w:t>
      </w:r>
      <w:r w:rsidR="005713F7">
        <w:rPr>
          <w:b/>
          <w:sz w:val="20"/>
          <w:szCs w:val="20"/>
        </w:rPr>
        <w:tab/>
      </w:r>
      <w:r w:rsidR="00066AA8" w:rsidRPr="008C1CE4">
        <w:rPr>
          <w:rFonts w:ascii="Calibri" w:hAnsi="Calibri" w:cs="Calibri"/>
          <w:color w:val="000000" w:themeColor="text1"/>
          <w:sz w:val="20"/>
          <w:szCs w:val="20"/>
        </w:rPr>
        <w:t xml:space="preserve">vypracoval NKÚ na základě dat poskytnutých </w:t>
      </w:r>
      <w:r w:rsidRPr="008C1CE4">
        <w:rPr>
          <w:sz w:val="20"/>
          <w:szCs w:val="20"/>
        </w:rPr>
        <w:t>GFŘ.</w:t>
      </w:r>
    </w:p>
    <w:p w14:paraId="4B2F8DD7" w14:textId="009612AF" w:rsidR="00E72039" w:rsidRDefault="00E72039" w:rsidP="00A77D8F">
      <w:pPr>
        <w:spacing w:after="0"/>
        <w:ind w:left="567" w:hanging="567"/>
        <w:jc w:val="both"/>
        <w:rPr>
          <w:sz w:val="24"/>
          <w:szCs w:val="24"/>
        </w:rPr>
      </w:pPr>
      <w:r w:rsidRPr="00A77D8F">
        <w:rPr>
          <w:rFonts w:cstheme="minorHAnsi"/>
          <w:b/>
          <w:sz w:val="20"/>
          <w:szCs w:val="20"/>
        </w:rPr>
        <w:t>Pozn.:</w:t>
      </w:r>
      <w:r w:rsidRPr="008C1CE4">
        <w:rPr>
          <w:rFonts w:cstheme="minorHAnsi"/>
          <w:sz w:val="20"/>
          <w:szCs w:val="20"/>
        </w:rPr>
        <w:t xml:space="preserve"> </w:t>
      </w:r>
      <w:r w:rsidR="00A77D8F">
        <w:rPr>
          <w:rFonts w:cstheme="minorHAnsi"/>
          <w:sz w:val="20"/>
          <w:szCs w:val="20"/>
        </w:rPr>
        <w:tab/>
      </w:r>
      <w:r w:rsidR="005713F7">
        <w:rPr>
          <w:rFonts w:cstheme="minorHAnsi"/>
          <w:sz w:val="20"/>
          <w:szCs w:val="20"/>
        </w:rPr>
        <w:t>Ú</w:t>
      </w:r>
      <w:r w:rsidRPr="008C1CE4">
        <w:rPr>
          <w:rFonts w:cstheme="minorHAnsi"/>
          <w:sz w:val="20"/>
          <w:szCs w:val="20"/>
        </w:rPr>
        <w:t>spěšnost</w:t>
      </w:r>
      <w:r w:rsidRPr="00012897">
        <w:rPr>
          <w:rFonts w:cstheme="minorHAnsi"/>
          <w:sz w:val="20"/>
          <w:szCs w:val="20"/>
        </w:rPr>
        <w:t xml:space="preserve"> zacílení kontrolních postupů značí p</w:t>
      </w:r>
      <w:r>
        <w:rPr>
          <w:rFonts w:cstheme="minorHAnsi"/>
          <w:sz w:val="20"/>
          <w:szCs w:val="20"/>
        </w:rPr>
        <w:t xml:space="preserve">odíl </w:t>
      </w:r>
      <w:r w:rsidRPr="00012897">
        <w:rPr>
          <w:rFonts w:cstheme="minorHAnsi"/>
          <w:sz w:val="20"/>
          <w:szCs w:val="20"/>
        </w:rPr>
        <w:t xml:space="preserve">ukončených </w:t>
      </w:r>
      <w:r>
        <w:rPr>
          <w:rFonts w:cstheme="minorHAnsi"/>
          <w:sz w:val="20"/>
          <w:szCs w:val="20"/>
        </w:rPr>
        <w:t xml:space="preserve">kontrolních </w:t>
      </w:r>
      <w:r w:rsidRPr="00012897">
        <w:rPr>
          <w:rFonts w:cstheme="minorHAnsi"/>
          <w:sz w:val="20"/>
          <w:szCs w:val="20"/>
        </w:rPr>
        <w:t xml:space="preserve">postupů se zjištěním na ukončených </w:t>
      </w:r>
      <w:r>
        <w:rPr>
          <w:rFonts w:cstheme="minorHAnsi"/>
          <w:sz w:val="20"/>
          <w:szCs w:val="20"/>
        </w:rPr>
        <w:t xml:space="preserve">kontrolních </w:t>
      </w:r>
      <w:r w:rsidRPr="00012897">
        <w:rPr>
          <w:rFonts w:cstheme="minorHAnsi"/>
          <w:sz w:val="20"/>
          <w:szCs w:val="20"/>
        </w:rPr>
        <w:t>postupech.</w:t>
      </w:r>
      <w:r w:rsidR="00237530">
        <w:rPr>
          <w:rFonts w:cstheme="minorHAnsi"/>
          <w:sz w:val="20"/>
          <w:szCs w:val="20"/>
        </w:rPr>
        <w:t xml:space="preserve"> Jiná data nebyla v průběhu kontroly k di</w:t>
      </w:r>
      <w:r w:rsidR="00D80447">
        <w:rPr>
          <w:rFonts w:cstheme="minorHAnsi"/>
          <w:sz w:val="20"/>
          <w:szCs w:val="20"/>
        </w:rPr>
        <w:t>s</w:t>
      </w:r>
      <w:r w:rsidR="00237530">
        <w:rPr>
          <w:rFonts w:cstheme="minorHAnsi"/>
          <w:sz w:val="20"/>
          <w:szCs w:val="20"/>
        </w:rPr>
        <w:t>pozici.</w:t>
      </w:r>
    </w:p>
    <w:p w14:paraId="7A6150DC" w14:textId="23E8709D" w:rsidR="00764AF0" w:rsidRDefault="00435067" w:rsidP="00435067">
      <w:pPr>
        <w:spacing w:before="120" w:after="120"/>
        <w:jc w:val="both"/>
        <w:rPr>
          <w:sz w:val="24"/>
          <w:szCs w:val="24"/>
        </w:rPr>
      </w:pPr>
      <w:r w:rsidRPr="004B0939">
        <w:rPr>
          <w:sz w:val="24"/>
          <w:szCs w:val="24"/>
        </w:rPr>
        <w:t xml:space="preserve">NKÚ zjistil, že </w:t>
      </w:r>
      <w:r w:rsidR="00764AF0">
        <w:rPr>
          <w:sz w:val="24"/>
          <w:szCs w:val="24"/>
        </w:rPr>
        <w:t>mezi roky 2018 a 2023 se snížil počet ukončených daňových kontrol</w:t>
      </w:r>
      <w:r w:rsidR="002F7343">
        <w:rPr>
          <w:sz w:val="24"/>
          <w:szCs w:val="24"/>
        </w:rPr>
        <w:t xml:space="preserve"> a</w:t>
      </w:r>
      <w:r w:rsidR="00764AF0">
        <w:rPr>
          <w:sz w:val="24"/>
          <w:szCs w:val="24"/>
        </w:rPr>
        <w:t xml:space="preserve"> zvýšil se počet zaměst</w:t>
      </w:r>
      <w:r w:rsidR="00D80447">
        <w:rPr>
          <w:sz w:val="24"/>
          <w:szCs w:val="24"/>
        </w:rPr>
        <w:t>n</w:t>
      </w:r>
      <w:r w:rsidR="00764AF0">
        <w:rPr>
          <w:sz w:val="24"/>
          <w:szCs w:val="24"/>
        </w:rPr>
        <w:t xml:space="preserve">anců provádějících kontrolu DPPO. </w:t>
      </w:r>
    </w:p>
    <w:p w14:paraId="6CD5BC51" w14:textId="15D7B0AD" w:rsidR="00DF2E1C" w:rsidRPr="001114FD" w:rsidRDefault="00E72039" w:rsidP="00104E8E">
      <w:pPr>
        <w:pStyle w:val="Odstavecseseznamem"/>
        <w:numPr>
          <w:ilvl w:val="0"/>
          <w:numId w:val="58"/>
        </w:numPr>
        <w:tabs>
          <w:tab w:val="left" w:pos="284"/>
        </w:tabs>
        <w:spacing w:before="240" w:after="120"/>
        <w:ind w:left="284" w:hanging="284"/>
        <w:contextualSpacing w:val="0"/>
        <w:jc w:val="both"/>
        <w:rPr>
          <w:sz w:val="24"/>
          <w:szCs w:val="24"/>
        </w:rPr>
      </w:pPr>
      <w:r w:rsidRPr="001114FD">
        <w:rPr>
          <w:sz w:val="24"/>
          <w:szCs w:val="24"/>
        </w:rPr>
        <w:t xml:space="preserve">GFŘ pro zlepšení práce vymáhacích útvarů vytvořilo </w:t>
      </w:r>
      <w:r w:rsidRPr="00F44856">
        <w:rPr>
          <w:i/>
          <w:sz w:val="24"/>
          <w:szCs w:val="24"/>
        </w:rPr>
        <w:t>Aplikaci podpory exekucí</w:t>
      </w:r>
      <w:r w:rsidRPr="001114FD">
        <w:rPr>
          <w:sz w:val="24"/>
          <w:szCs w:val="24"/>
        </w:rPr>
        <w:t xml:space="preserve"> (</w:t>
      </w:r>
      <w:r w:rsidR="007770CD" w:rsidRPr="001114FD">
        <w:rPr>
          <w:sz w:val="24"/>
          <w:szCs w:val="24"/>
        </w:rPr>
        <w:t xml:space="preserve">dále také </w:t>
      </w:r>
      <w:r w:rsidR="007770CD" w:rsidRPr="00104E8E">
        <w:rPr>
          <w:sz w:val="24"/>
          <w:szCs w:val="24"/>
        </w:rPr>
        <w:t>„</w:t>
      </w:r>
      <w:r w:rsidRPr="00814652">
        <w:rPr>
          <w:sz w:val="24"/>
          <w:szCs w:val="24"/>
        </w:rPr>
        <w:t>APEX</w:t>
      </w:r>
      <w:r w:rsidR="007770CD" w:rsidRPr="00104E8E">
        <w:rPr>
          <w:sz w:val="24"/>
          <w:szCs w:val="24"/>
        </w:rPr>
        <w:t>“</w:t>
      </w:r>
      <w:r w:rsidRPr="001114FD">
        <w:rPr>
          <w:sz w:val="24"/>
          <w:szCs w:val="24"/>
        </w:rPr>
        <w:t>). Aplikace sdružuje na jednom místě komplexní informace o daňových subjektech s nedoplatkem a umožňuje sledování, analyzování a vyhodnocování činností v oblasti vymáhání daňových nedoplatků.</w:t>
      </w:r>
    </w:p>
    <w:p w14:paraId="5EA66237" w14:textId="59105346" w:rsidR="00024404" w:rsidRPr="00C97109" w:rsidRDefault="00024404" w:rsidP="00BC7C63">
      <w:pPr>
        <w:keepNext/>
        <w:spacing w:after="0"/>
        <w:jc w:val="both"/>
        <w:rPr>
          <w:b/>
          <w:sz w:val="24"/>
          <w:szCs w:val="24"/>
        </w:rPr>
      </w:pPr>
      <w:r w:rsidRPr="00C97109">
        <w:rPr>
          <w:b/>
          <w:sz w:val="24"/>
          <w:szCs w:val="24"/>
        </w:rPr>
        <w:t xml:space="preserve">Graf č. </w:t>
      </w:r>
      <w:r w:rsidR="00F905B3">
        <w:rPr>
          <w:b/>
          <w:sz w:val="24"/>
          <w:szCs w:val="24"/>
        </w:rPr>
        <w:t>4</w:t>
      </w:r>
      <w:r w:rsidR="00104E8E">
        <w:rPr>
          <w:b/>
          <w:sz w:val="24"/>
          <w:szCs w:val="24"/>
        </w:rPr>
        <w:t>:</w:t>
      </w:r>
      <w:r w:rsidR="00856894">
        <w:rPr>
          <w:b/>
          <w:sz w:val="24"/>
          <w:szCs w:val="24"/>
        </w:rPr>
        <w:t xml:space="preserve"> </w:t>
      </w:r>
      <w:r w:rsidRPr="00C97109">
        <w:rPr>
          <w:b/>
          <w:sz w:val="24"/>
          <w:szCs w:val="24"/>
        </w:rPr>
        <w:t>Úspěšnost vymáhání daňových nedoplatků v letech 2018 až 2023</w:t>
      </w:r>
    </w:p>
    <w:p w14:paraId="3012D363" w14:textId="13F57BCC" w:rsidR="00C97109" w:rsidRDefault="001341AE" w:rsidP="00A77D8F">
      <w:pPr>
        <w:spacing w:after="0"/>
        <w:jc w:val="both"/>
        <w:rPr>
          <w:sz w:val="24"/>
          <w:szCs w:val="24"/>
        </w:rPr>
      </w:pPr>
      <w:r>
        <w:rPr>
          <w:noProof/>
        </w:rPr>
        <w:drawing>
          <wp:inline distT="0" distB="0" distL="0" distR="0" wp14:anchorId="27F5B110" wp14:editId="6349A6E8">
            <wp:extent cx="5760085" cy="2376000"/>
            <wp:effectExtent l="0" t="0" r="0" b="5715"/>
            <wp:docPr id="6" name="Graf 6">
              <a:extLst xmlns:a="http://schemas.openxmlformats.org/drawingml/2006/main">
                <a:ext uri="{FF2B5EF4-FFF2-40B4-BE49-F238E27FC236}">
                  <a16:creationId xmlns:a16="http://schemas.microsoft.com/office/drawing/2014/main" id="{32FC1C5D-300F-4191-9F02-FFFBA24880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445D05" w14:textId="77777777" w:rsidR="00C97109" w:rsidRPr="008C1CE4" w:rsidRDefault="00C97109" w:rsidP="004D17D3">
      <w:pPr>
        <w:spacing w:after="0" w:line="240" w:lineRule="auto"/>
        <w:jc w:val="both"/>
        <w:rPr>
          <w:sz w:val="20"/>
          <w:szCs w:val="20"/>
        </w:rPr>
      </w:pPr>
      <w:r w:rsidRPr="00A77D8F">
        <w:rPr>
          <w:b/>
          <w:sz w:val="20"/>
          <w:szCs w:val="20"/>
        </w:rPr>
        <w:t xml:space="preserve">Zdroj: </w:t>
      </w:r>
      <w:r w:rsidR="00EF5DFD" w:rsidRPr="008C1CE4">
        <w:rPr>
          <w:rFonts w:ascii="Calibri" w:hAnsi="Calibri" w:cs="Calibri"/>
          <w:color w:val="000000" w:themeColor="text1"/>
          <w:sz w:val="20"/>
          <w:szCs w:val="20"/>
        </w:rPr>
        <w:t xml:space="preserve">vypracoval NKÚ na základě dat poskytnutých </w:t>
      </w:r>
      <w:r w:rsidRPr="008C1CE4">
        <w:rPr>
          <w:sz w:val="20"/>
          <w:szCs w:val="20"/>
        </w:rPr>
        <w:t>GFŘ.</w:t>
      </w:r>
    </w:p>
    <w:p w14:paraId="22B183C7" w14:textId="69B2A855" w:rsidR="00C97109" w:rsidRPr="00C97109" w:rsidRDefault="00C97109" w:rsidP="00A77D8F">
      <w:pPr>
        <w:spacing w:after="0"/>
        <w:ind w:left="567" w:hanging="567"/>
        <w:jc w:val="both"/>
        <w:rPr>
          <w:sz w:val="20"/>
          <w:szCs w:val="20"/>
        </w:rPr>
      </w:pPr>
      <w:r w:rsidRPr="00A77D8F">
        <w:rPr>
          <w:b/>
          <w:sz w:val="20"/>
          <w:szCs w:val="20"/>
        </w:rPr>
        <w:t>Pozn.:</w:t>
      </w:r>
      <w:r w:rsidR="00A77D8F">
        <w:rPr>
          <w:b/>
          <w:sz w:val="20"/>
          <w:szCs w:val="20"/>
        </w:rPr>
        <w:tab/>
      </w:r>
      <w:r w:rsidRPr="008C1CE4">
        <w:rPr>
          <w:sz w:val="20"/>
          <w:szCs w:val="20"/>
        </w:rPr>
        <w:t>*</w:t>
      </w:r>
      <w:r w:rsidR="00A77D8F">
        <w:rPr>
          <w:sz w:val="20"/>
          <w:szCs w:val="20"/>
        </w:rPr>
        <w:t xml:space="preserve"> </w:t>
      </w:r>
      <w:r w:rsidRPr="008C1CE4">
        <w:rPr>
          <w:sz w:val="20"/>
          <w:szCs w:val="20"/>
        </w:rPr>
        <w:t>V případě vymáhání vymáhacími úkony se jedná o úkony dle zákona č. 280/2009 Sb.</w:t>
      </w:r>
      <w:r w:rsidR="00256856" w:rsidRPr="008C1CE4">
        <w:rPr>
          <w:sz w:val="20"/>
          <w:szCs w:val="20"/>
        </w:rPr>
        <w:t>, daňový řád.</w:t>
      </w:r>
      <w:r w:rsidRPr="008C1CE4">
        <w:rPr>
          <w:sz w:val="20"/>
          <w:szCs w:val="20"/>
        </w:rPr>
        <w:t xml:space="preserve"> Nezahrnuje</w:t>
      </w:r>
      <w:r w:rsidRPr="00C97109">
        <w:rPr>
          <w:sz w:val="20"/>
          <w:szCs w:val="20"/>
        </w:rPr>
        <w:t xml:space="preserve"> úhrady ze souběhů vymáhání prostřednictvím soudního exekutora a prostřednictvím soudu, kdy </w:t>
      </w:r>
      <w:r w:rsidR="00EF5DFD">
        <w:rPr>
          <w:sz w:val="20"/>
          <w:szCs w:val="20"/>
        </w:rPr>
        <w:t>správci daně</w:t>
      </w:r>
      <w:r w:rsidRPr="00C97109">
        <w:rPr>
          <w:sz w:val="20"/>
          <w:szCs w:val="20"/>
        </w:rPr>
        <w:t xml:space="preserve"> z titulu věřitele přihlašují daňové pohledávky do exekucí prováděných těmito institucemi.</w:t>
      </w:r>
    </w:p>
    <w:p w14:paraId="0F191F8B" w14:textId="18195A9D" w:rsidR="00A73BF9" w:rsidRPr="00C97109" w:rsidRDefault="00A73BF9" w:rsidP="00565087">
      <w:pPr>
        <w:spacing w:after="0"/>
        <w:ind w:left="567"/>
        <w:jc w:val="both"/>
        <w:rPr>
          <w:sz w:val="20"/>
          <w:szCs w:val="20"/>
        </w:rPr>
      </w:pPr>
      <w:r>
        <w:rPr>
          <w:sz w:val="20"/>
          <w:szCs w:val="20"/>
        </w:rPr>
        <w:t xml:space="preserve">Úspěšnost vymáhání daňových nedoplatků na DPPO </w:t>
      </w:r>
      <w:r w:rsidR="000D2443">
        <w:rPr>
          <w:sz w:val="20"/>
          <w:szCs w:val="20"/>
        </w:rPr>
        <w:t xml:space="preserve">provedené </w:t>
      </w:r>
      <w:r>
        <w:rPr>
          <w:sz w:val="20"/>
          <w:szCs w:val="20"/>
        </w:rPr>
        <w:t xml:space="preserve">vymáhacími úkony </w:t>
      </w:r>
      <w:r w:rsidR="000D2443">
        <w:rPr>
          <w:sz w:val="20"/>
          <w:szCs w:val="20"/>
        </w:rPr>
        <w:t xml:space="preserve">vyjadřuje </w:t>
      </w:r>
      <w:r>
        <w:rPr>
          <w:sz w:val="20"/>
          <w:szCs w:val="20"/>
        </w:rPr>
        <w:t>podíl vymožených daňových nedoplatků na vymáhaných daňových nedoplat</w:t>
      </w:r>
      <w:r w:rsidR="000D2443">
        <w:rPr>
          <w:sz w:val="20"/>
          <w:szCs w:val="20"/>
        </w:rPr>
        <w:t>cích</w:t>
      </w:r>
      <w:r>
        <w:rPr>
          <w:sz w:val="20"/>
          <w:szCs w:val="20"/>
        </w:rPr>
        <w:t>.</w:t>
      </w:r>
      <w:r w:rsidR="00237530">
        <w:rPr>
          <w:sz w:val="20"/>
          <w:szCs w:val="20"/>
        </w:rPr>
        <w:t xml:space="preserve"> </w:t>
      </w:r>
      <w:r w:rsidR="00237530">
        <w:rPr>
          <w:rFonts w:cstheme="minorHAnsi"/>
          <w:sz w:val="20"/>
          <w:szCs w:val="20"/>
        </w:rPr>
        <w:t>Jiná data nebyla v průběhu kontroly k di</w:t>
      </w:r>
      <w:r w:rsidR="00D80447">
        <w:rPr>
          <w:rFonts w:cstheme="minorHAnsi"/>
          <w:sz w:val="20"/>
          <w:szCs w:val="20"/>
        </w:rPr>
        <w:t>s</w:t>
      </w:r>
      <w:r w:rsidR="00237530">
        <w:rPr>
          <w:rFonts w:cstheme="minorHAnsi"/>
          <w:sz w:val="20"/>
          <w:szCs w:val="20"/>
        </w:rPr>
        <w:t>pozici.</w:t>
      </w:r>
    </w:p>
    <w:p w14:paraId="51DBDE74" w14:textId="7AD0B55E" w:rsidR="00E72039" w:rsidRDefault="00E72039" w:rsidP="00BC7C63">
      <w:pPr>
        <w:spacing w:before="120" w:after="120"/>
        <w:jc w:val="both"/>
        <w:rPr>
          <w:sz w:val="24"/>
          <w:szCs w:val="24"/>
        </w:rPr>
      </w:pPr>
      <w:r w:rsidRPr="001D1794">
        <w:rPr>
          <w:sz w:val="24"/>
          <w:szCs w:val="24"/>
        </w:rPr>
        <w:t>NKÚ zjistil, že efektivnost vymáhání daňových nedoplatků na DPPO se mezi roky 2018 a 20</w:t>
      </w:r>
      <w:r w:rsidR="00366576">
        <w:rPr>
          <w:sz w:val="24"/>
          <w:szCs w:val="24"/>
        </w:rPr>
        <w:t>23</w:t>
      </w:r>
      <w:r w:rsidRPr="001D1794">
        <w:rPr>
          <w:sz w:val="24"/>
          <w:szCs w:val="24"/>
        </w:rPr>
        <w:t xml:space="preserve"> </w:t>
      </w:r>
      <w:r w:rsidR="00235985" w:rsidRPr="00492BCB">
        <w:rPr>
          <w:sz w:val="24"/>
          <w:szCs w:val="24"/>
        </w:rPr>
        <w:t>zvýšila</w:t>
      </w:r>
      <w:r w:rsidR="00235985">
        <w:rPr>
          <w:sz w:val="24"/>
          <w:szCs w:val="24"/>
        </w:rPr>
        <w:t xml:space="preserve"> </w:t>
      </w:r>
      <w:r w:rsidRPr="001D1794">
        <w:rPr>
          <w:sz w:val="24"/>
          <w:szCs w:val="24"/>
        </w:rPr>
        <w:t>o 5,</w:t>
      </w:r>
      <w:r w:rsidR="00366576">
        <w:rPr>
          <w:sz w:val="24"/>
          <w:szCs w:val="24"/>
        </w:rPr>
        <w:t>32</w:t>
      </w:r>
      <w:r w:rsidRPr="001D1794">
        <w:rPr>
          <w:sz w:val="24"/>
          <w:szCs w:val="24"/>
        </w:rPr>
        <w:t xml:space="preserve"> </w:t>
      </w:r>
      <w:proofErr w:type="spellStart"/>
      <w:r w:rsidRPr="001D1794">
        <w:rPr>
          <w:sz w:val="24"/>
          <w:szCs w:val="24"/>
        </w:rPr>
        <w:t>p.b</w:t>
      </w:r>
      <w:proofErr w:type="spellEnd"/>
      <w:r w:rsidRPr="001D1794">
        <w:rPr>
          <w:sz w:val="24"/>
          <w:szCs w:val="24"/>
        </w:rPr>
        <w:t xml:space="preserve">. </w:t>
      </w:r>
      <w:r w:rsidR="00C87CE2">
        <w:rPr>
          <w:sz w:val="24"/>
          <w:szCs w:val="24"/>
        </w:rPr>
        <w:t>K uvedené</w:t>
      </w:r>
      <w:r w:rsidRPr="001D1794">
        <w:rPr>
          <w:sz w:val="24"/>
          <w:szCs w:val="24"/>
        </w:rPr>
        <w:t xml:space="preserve"> skutečnost</w:t>
      </w:r>
      <w:r w:rsidR="00C87CE2">
        <w:rPr>
          <w:sz w:val="24"/>
          <w:szCs w:val="24"/>
        </w:rPr>
        <w:t>i</w:t>
      </w:r>
      <w:r w:rsidRPr="001D1794">
        <w:rPr>
          <w:sz w:val="24"/>
          <w:szCs w:val="24"/>
        </w:rPr>
        <w:t xml:space="preserve"> </w:t>
      </w:r>
      <w:r w:rsidR="00C87CE2">
        <w:rPr>
          <w:sz w:val="24"/>
          <w:szCs w:val="24"/>
        </w:rPr>
        <w:t>přispělo</w:t>
      </w:r>
      <w:r w:rsidRPr="001D1794">
        <w:rPr>
          <w:sz w:val="24"/>
          <w:szCs w:val="24"/>
        </w:rPr>
        <w:t xml:space="preserve"> metodické vedení ze strany GFŘ</w:t>
      </w:r>
      <w:r w:rsidR="000901CF">
        <w:rPr>
          <w:sz w:val="24"/>
          <w:szCs w:val="24"/>
        </w:rPr>
        <w:t xml:space="preserve"> (např.</w:t>
      </w:r>
      <w:r w:rsidR="0005698C">
        <w:rPr>
          <w:sz w:val="24"/>
          <w:szCs w:val="24"/>
        </w:rPr>
        <w:t> </w:t>
      </w:r>
      <w:r w:rsidR="00EE0428">
        <w:rPr>
          <w:sz w:val="24"/>
          <w:szCs w:val="24"/>
        </w:rPr>
        <w:t>využívání aplikace</w:t>
      </w:r>
      <w:r w:rsidR="00AD7034">
        <w:rPr>
          <w:sz w:val="24"/>
          <w:szCs w:val="24"/>
        </w:rPr>
        <w:t xml:space="preserve"> APEX</w:t>
      </w:r>
      <w:r w:rsidR="00EE0428">
        <w:rPr>
          <w:sz w:val="24"/>
          <w:szCs w:val="24"/>
        </w:rPr>
        <w:t xml:space="preserve"> zaměstnanci FS ČR</w:t>
      </w:r>
      <w:r w:rsidR="000901CF">
        <w:rPr>
          <w:sz w:val="24"/>
          <w:szCs w:val="24"/>
        </w:rPr>
        <w:t>, zřízení specializovaných útvarů vymáhání)</w:t>
      </w:r>
      <w:r w:rsidRPr="001D1794">
        <w:rPr>
          <w:sz w:val="24"/>
          <w:szCs w:val="24"/>
        </w:rPr>
        <w:t xml:space="preserve">. Úspěšnost vymáhání daňových nedoplatků na DPPO se v roce 2023 dostala na úroveň srovnatelnou s rokem 2019, propad úspěšnosti v letech 2020 a 2021 způsobily okolnosti související s pandemií </w:t>
      </w:r>
      <w:r w:rsidR="00104E8E" w:rsidRPr="001D1794">
        <w:rPr>
          <w:sz w:val="24"/>
          <w:szCs w:val="24"/>
        </w:rPr>
        <w:t>covid</w:t>
      </w:r>
      <w:r w:rsidR="00104E8E">
        <w:rPr>
          <w:sz w:val="24"/>
          <w:szCs w:val="24"/>
        </w:rPr>
        <w:t>u</w:t>
      </w:r>
      <w:r w:rsidRPr="001D1794">
        <w:rPr>
          <w:sz w:val="24"/>
          <w:szCs w:val="24"/>
        </w:rPr>
        <w:t>-19.</w:t>
      </w:r>
      <w:r>
        <w:rPr>
          <w:sz w:val="24"/>
          <w:szCs w:val="24"/>
        </w:rPr>
        <w:t xml:space="preserve"> </w:t>
      </w:r>
    </w:p>
    <w:p w14:paraId="76C72F41" w14:textId="65FEE603" w:rsidR="00641566" w:rsidRPr="001114FD" w:rsidRDefault="00641566" w:rsidP="00104E8E">
      <w:pPr>
        <w:pStyle w:val="Odstavecseseznamem"/>
        <w:numPr>
          <w:ilvl w:val="0"/>
          <w:numId w:val="58"/>
        </w:numPr>
        <w:tabs>
          <w:tab w:val="left" w:pos="284"/>
        </w:tabs>
        <w:spacing w:before="120" w:after="120"/>
        <w:ind w:left="284" w:hanging="295"/>
        <w:jc w:val="both"/>
        <w:rPr>
          <w:sz w:val="24"/>
          <w:szCs w:val="24"/>
        </w:rPr>
      </w:pPr>
      <w:r w:rsidRPr="001114FD">
        <w:rPr>
          <w:sz w:val="24"/>
          <w:szCs w:val="24"/>
        </w:rPr>
        <w:t>Nákladov</w:t>
      </w:r>
      <w:r w:rsidR="004245FC">
        <w:rPr>
          <w:sz w:val="24"/>
          <w:szCs w:val="24"/>
        </w:rPr>
        <w:t xml:space="preserve">ou </w:t>
      </w:r>
      <w:r w:rsidRPr="001114FD">
        <w:rPr>
          <w:sz w:val="24"/>
          <w:szCs w:val="24"/>
        </w:rPr>
        <w:t xml:space="preserve">efektivnost správy DPPO vyjadřuje </w:t>
      </w:r>
      <w:r w:rsidR="00BD4D3A" w:rsidRPr="001114FD">
        <w:rPr>
          <w:sz w:val="24"/>
          <w:szCs w:val="24"/>
        </w:rPr>
        <w:t>výš</w:t>
      </w:r>
      <w:r w:rsidR="004245FC">
        <w:rPr>
          <w:sz w:val="24"/>
          <w:szCs w:val="24"/>
        </w:rPr>
        <w:t xml:space="preserve">e </w:t>
      </w:r>
      <w:r w:rsidRPr="001114FD">
        <w:rPr>
          <w:sz w:val="24"/>
          <w:szCs w:val="24"/>
        </w:rPr>
        <w:t>výdajů</w:t>
      </w:r>
      <w:r w:rsidR="0093271E" w:rsidRPr="001114FD">
        <w:rPr>
          <w:sz w:val="24"/>
          <w:szCs w:val="24"/>
        </w:rPr>
        <w:t xml:space="preserve"> </w:t>
      </w:r>
      <w:r w:rsidRPr="001114FD">
        <w:rPr>
          <w:sz w:val="24"/>
          <w:szCs w:val="24"/>
        </w:rPr>
        <w:t>vynaložených</w:t>
      </w:r>
      <w:r w:rsidR="00EC624F" w:rsidRPr="001114FD">
        <w:rPr>
          <w:sz w:val="24"/>
          <w:szCs w:val="24"/>
        </w:rPr>
        <w:t xml:space="preserve"> </w:t>
      </w:r>
      <w:r w:rsidRPr="001114FD">
        <w:rPr>
          <w:sz w:val="24"/>
          <w:szCs w:val="24"/>
        </w:rPr>
        <w:t xml:space="preserve">na 100 Kč inkasa DPPO. Čím je výsledná hodnota nižší, tím je tato efektivnost </w:t>
      </w:r>
      <w:r w:rsidR="007070A7" w:rsidRPr="001114FD">
        <w:rPr>
          <w:sz w:val="24"/>
          <w:szCs w:val="24"/>
        </w:rPr>
        <w:t>vyšší</w:t>
      </w:r>
      <w:r w:rsidRPr="001114FD">
        <w:rPr>
          <w:sz w:val="24"/>
          <w:szCs w:val="24"/>
        </w:rPr>
        <w:t>.</w:t>
      </w:r>
    </w:p>
    <w:p w14:paraId="526CCECB" w14:textId="77777777" w:rsidR="00E72039" w:rsidRDefault="00E72039" w:rsidP="00BC7C63">
      <w:pPr>
        <w:spacing w:before="120" w:after="120"/>
        <w:jc w:val="both"/>
        <w:rPr>
          <w:sz w:val="24"/>
          <w:szCs w:val="24"/>
        </w:rPr>
      </w:pPr>
      <w:r>
        <w:rPr>
          <w:sz w:val="24"/>
          <w:szCs w:val="24"/>
        </w:rPr>
        <w:t xml:space="preserve">Základem pro výpočet </w:t>
      </w:r>
      <w:r w:rsidR="004F1BDE">
        <w:rPr>
          <w:sz w:val="24"/>
          <w:szCs w:val="24"/>
        </w:rPr>
        <w:t xml:space="preserve">nákladové </w:t>
      </w:r>
      <w:r>
        <w:rPr>
          <w:sz w:val="24"/>
          <w:szCs w:val="24"/>
        </w:rPr>
        <w:t xml:space="preserve">efektivnosti </w:t>
      </w:r>
      <w:r w:rsidR="004F1BDE">
        <w:rPr>
          <w:sz w:val="24"/>
          <w:szCs w:val="24"/>
        </w:rPr>
        <w:t xml:space="preserve">správy </w:t>
      </w:r>
      <w:r>
        <w:rPr>
          <w:sz w:val="24"/>
          <w:szCs w:val="24"/>
        </w:rPr>
        <w:t>DPPO bylo zjištění počtu zaměstnanců FS</w:t>
      </w:r>
      <w:r w:rsidR="00A73E18">
        <w:rPr>
          <w:sz w:val="24"/>
          <w:szCs w:val="24"/>
        </w:rPr>
        <w:t> </w:t>
      </w:r>
      <w:r>
        <w:rPr>
          <w:sz w:val="24"/>
          <w:szCs w:val="24"/>
        </w:rPr>
        <w:t xml:space="preserve">ČR, kteří tuto správu vykonávali. </w:t>
      </w:r>
      <w:r w:rsidRPr="001265E0">
        <w:rPr>
          <w:sz w:val="24"/>
          <w:szCs w:val="24"/>
        </w:rPr>
        <w:t>NKÚ převzal základní metodologii GFŘ pro výpočet počtu zaměstnanců vykonávajících činnosti spojené se správou DPPO a jejich poměru k celkovému počtu zaměstnanců v jednotlivých letech 2018 až 2023.</w:t>
      </w:r>
    </w:p>
    <w:p w14:paraId="22F0A2ED" w14:textId="53CFF500" w:rsidR="00E72039" w:rsidRPr="006955F1" w:rsidRDefault="00E72039" w:rsidP="00565087">
      <w:pPr>
        <w:keepNext/>
        <w:spacing w:before="240" w:after="0"/>
        <w:rPr>
          <w:b/>
          <w:sz w:val="24"/>
          <w:szCs w:val="24"/>
        </w:rPr>
      </w:pPr>
      <w:r w:rsidRPr="006955F1">
        <w:rPr>
          <w:b/>
          <w:sz w:val="24"/>
          <w:szCs w:val="24"/>
        </w:rPr>
        <w:t xml:space="preserve">Graf </w:t>
      </w:r>
      <w:r w:rsidRPr="00F0248E">
        <w:rPr>
          <w:b/>
          <w:sz w:val="24"/>
          <w:szCs w:val="24"/>
        </w:rPr>
        <w:t xml:space="preserve">č. </w:t>
      </w:r>
      <w:r w:rsidR="00F905B3">
        <w:rPr>
          <w:b/>
          <w:sz w:val="24"/>
          <w:szCs w:val="24"/>
        </w:rPr>
        <w:t>5</w:t>
      </w:r>
      <w:r w:rsidR="00104E8E">
        <w:rPr>
          <w:b/>
          <w:sz w:val="24"/>
          <w:szCs w:val="24"/>
        </w:rPr>
        <w:t>:</w:t>
      </w:r>
      <w:r w:rsidR="00374D3C">
        <w:rPr>
          <w:b/>
          <w:sz w:val="24"/>
          <w:szCs w:val="24"/>
        </w:rPr>
        <w:t xml:space="preserve"> </w:t>
      </w:r>
      <w:r w:rsidRPr="00F0248E">
        <w:rPr>
          <w:b/>
          <w:sz w:val="24"/>
          <w:szCs w:val="24"/>
        </w:rPr>
        <w:t xml:space="preserve">Vývoj </w:t>
      </w:r>
      <w:r w:rsidR="00DE43F4">
        <w:rPr>
          <w:b/>
          <w:sz w:val="24"/>
          <w:szCs w:val="24"/>
        </w:rPr>
        <w:t xml:space="preserve">nákladové </w:t>
      </w:r>
      <w:r w:rsidRPr="00F0248E">
        <w:rPr>
          <w:b/>
          <w:sz w:val="24"/>
          <w:szCs w:val="24"/>
        </w:rPr>
        <w:t>e</w:t>
      </w:r>
      <w:r w:rsidRPr="006955F1">
        <w:rPr>
          <w:b/>
          <w:sz w:val="24"/>
          <w:szCs w:val="24"/>
        </w:rPr>
        <w:t>fektivnosti</w:t>
      </w:r>
      <w:r w:rsidR="00D54E2F">
        <w:rPr>
          <w:b/>
          <w:sz w:val="24"/>
          <w:szCs w:val="24"/>
        </w:rPr>
        <w:t xml:space="preserve"> </w:t>
      </w:r>
      <w:r w:rsidR="00641566" w:rsidRPr="006955F1">
        <w:rPr>
          <w:b/>
          <w:sz w:val="24"/>
          <w:szCs w:val="24"/>
        </w:rPr>
        <w:t>správ</w:t>
      </w:r>
      <w:r w:rsidR="00641566">
        <w:rPr>
          <w:b/>
          <w:sz w:val="24"/>
          <w:szCs w:val="24"/>
        </w:rPr>
        <w:t>y</w:t>
      </w:r>
      <w:r w:rsidR="00641566" w:rsidRPr="006955F1">
        <w:rPr>
          <w:b/>
          <w:sz w:val="24"/>
          <w:szCs w:val="24"/>
        </w:rPr>
        <w:t xml:space="preserve"> </w:t>
      </w:r>
      <w:r w:rsidRPr="006955F1">
        <w:rPr>
          <w:b/>
          <w:sz w:val="24"/>
          <w:szCs w:val="24"/>
        </w:rPr>
        <w:t>DPPO v letech 2018 až 2023</w:t>
      </w:r>
    </w:p>
    <w:p w14:paraId="04A72236" w14:textId="77777777" w:rsidR="00E72039" w:rsidRDefault="00B53940" w:rsidP="00E72039">
      <w:pPr>
        <w:jc w:val="both"/>
        <w:rPr>
          <w:sz w:val="24"/>
          <w:szCs w:val="24"/>
        </w:rPr>
      </w:pPr>
      <w:r>
        <w:rPr>
          <w:noProof/>
        </w:rPr>
        <w:drawing>
          <wp:inline distT="0" distB="0" distL="0" distR="0" wp14:anchorId="490F7F1F" wp14:editId="70673FD1">
            <wp:extent cx="5760720" cy="3240000"/>
            <wp:effectExtent l="0" t="0" r="0" b="0"/>
            <wp:docPr id="10" name="Graf 10">
              <a:extLst xmlns:a="http://schemas.openxmlformats.org/drawingml/2006/main">
                <a:ext uri="{FF2B5EF4-FFF2-40B4-BE49-F238E27FC236}">
                  <a16:creationId xmlns:a16="http://schemas.microsoft.com/office/drawing/2014/main" id="{2D491999-8069-4730-A603-0C572DE015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72039">
        <w:rPr>
          <w:sz w:val="24"/>
          <w:szCs w:val="24"/>
        </w:rPr>
        <w:t xml:space="preserve"> </w:t>
      </w:r>
    </w:p>
    <w:p w14:paraId="1AD8295E" w14:textId="6BF6F24A" w:rsidR="00E72039" w:rsidRPr="005F7614" w:rsidRDefault="00E72039" w:rsidP="00565087">
      <w:pPr>
        <w:ind w:left="567" w:hanging="567"/>
        <w:jc w:val="both"/>
        <w:rPr>
          <w:sz w:val="20"/>
          <w:szCs w:val="20"/>
        </w:rPr>
      </w:pPr>
      <w:r w:rsidRPr="00565087">
        <w:rPr>
          <w:b/>
          <w:sz w:val="20"/>
          <w:szCs w:val="20"/>
        </w:rPr>
        <w:t xml:space="preserve">Zdroj: </w:t>
      </w:r>
      <w:r w:rsidR="00AD7034" w:rsidRPr="00BD768B">
        <w:rPr>
          <w:sz w:val="20"/>
          <w:szCs w:val="20"/>
        </w:rPr>
        <w:t>vypracoval</w:t>
      </w:r>
      <w:r w:rsidR="00AD7034">
        <w:rPr>
          <w:sz w:val="20"/>
          <w:szCs w:val="20"/>
        </w:rPr>
        <w:t xml:space="preserve"> NKÚ na základě dat poskytnutých GFŘ a získaných z</w:t>
      </w:r>
      <w:r w:rsidR="00357FAB">
        <w:rPr>
          <w:sz w:val="20"/>
          <w:szCs w:val="20"/>
        </w:rPr>
        <w:t> </w:t>
      </w:r>
      <w:proofErr w:type="spellStart"/>
      <w:r w:rsidR="00357FAB">
        <w:rPr>
          <w:sz w:val="20"/>
          <w:szCs w:val="20"/>
        </w:rPr>
        <w:t>MONITORu</w:t>
      </w:r>
      <w:proofErr w:type="spellEnd"/>
      <w:r w:rsidR="00357FAB">
        <w:rPr>
          <w:sz w:val="20"/>
          <w:szCs w:val="20"/>
        </w:rPr>
        <w:t xml:space="preserve"> Státní pokladny. Online. Dostupné z </w:t>
      </w:r>
      <w:hyperlink r:id="rId17" w:anchor="query=101" w:history="1">
        <w:r w:rsidR="001F3B68" w:rsidRPr="000C2EAB">
          <w:rPr>
            <w:rStyle w:val="Hypertextovodkaz"/>
            <w:rFonts w:cstheme="minorHAnsi"/>
            <w:sz w:val="20"/>
            <w:szCs w:val="20"/>
          </w:rPr>
          <w:t>https://monitor.statnipokladna.cz/analyza/#query=101</w:t>
        </w:r>
      </w:hyperlink>
      <w:r w:rsidR="001F3B68">
        <w:rPr>
          <w:rFonts w:cstheme="minorHAnsi"/>
          <w:sz w:val="20"/>
          <w:szCs w:val="20"/>
        </w:rPr>
        <w:t xml:space="preserve"> [citováno</w:t>
      </w:r>
      <w:r w:rsidRPr="005F7614">
        <w:rPr>
          <w:rFonts w:cstheme="minorHAnsi"/>
          <w:sz w:val="20"/>
          <w:szCs w:val="20"/>
        </w:rPr>
        <w:t xml:space="preserve"> 6. 3. 2024</w:t>
      </w:r>
      <w:r w:rsidR="001F3B68">
        <w:rPr>
          <w:rFonts w:cstheme="minorHAnsi"/>
          <w:sz w:val="20"/>
          <w:szCs w:val="20"/>
        </w:rPr>
        <w:t>]</w:t>
      </w:r>
      <w:r w:rsidRPr="005F7614">
        <w:rPr>
          <w:sz w:val="20"/>
          <w:szCs w:val="20"/>
        </w:rPr>
        <w:t>.</w:t>
      </w:r>
    </w:p>
    <w:p w14:paraId="71B7B404" w14:textId="391AE825" w:rsidR="00E72039" w:rsidRDefault="00E15572" w:rsidP="00E72039">
      <w:pPr>
        <w:spacing w:before="120" w:after="120"/>
        <w:jc w:val="both"/>
        <w:rPr>
          <w:rFonts w:cstheme="minorHAnsi"/>
          <w:sz w:val="24"/>
          <w:szCs w:val="24"/>
        </w:rPr>
      </w:pPr>
      <w:r>
        <w:rPr>
          <w:sz w:val="24"/>
          <w:szCs w:val="24"/>
        </w:rPr>
        <w:t xml:space="preserve">NKÚ zjistil, že výše </w:t>
      </w:r>
      <w:r w:rsidR="00161157">
        <w:rPr>
          <w:sz w:val="24"/>
          <w:szCs w:val="24"/>
        </w:rPr>
        <w:t xml:space="preserve">celkových </w:t>
      </w:r>
      <w:r>
        <w:rPr>
          <w:sz w:val="24"/>
          <w:szCs w:val="24"/>
        </w:rPr>
        <w:t xml:space="preserve">výdajů </w:t>
      </w:r>
      <w:r w:rsidR="00EC624F" w:rsidRPr="00492BCB">
        <w:rPr>
          <w:sz w:val="24"/>
          <w:szCs w:val="24"/>
        </w:rPr>
        <w:t>správy DPPO</w:t>
      </w:r>
      <w:r w:rsidR="00EC624F">
        <w:rPr>
          <w:sz w:val="24"/>
          <w:szCs w:val="24"/>
        </w:rPr>
        <w:t xml:space="preserve"> </w:t>
      </w:r>
      <w:r>
        <w:rPr>
          <w:sz w:val="24"/>
          <w:szCs w:val="24"/>
        </w:rPr>
        <w:t>vynaložených na 100 Kč inkasa DPPO</w:t>
      </w:r>
      <w:r w:rsidR="00E72039">
        <w:rPr>
          <w:sz w:val="24"/>
          <w:szCs w:val="24"/>
        </w:rPr>
        <w:t xml:space="preserve"> klesl</w:t>
      </w:r>
      <w:r w:rsidR="0093271E">
        <w:rPr>
          <w:sz w:val="24"/>
          <w:szCs w:val="24"/>
        </w:rPr>
        <w:t>a</w:t>
      </w:r>
      <w:r w:rsidR="00E72039">
        <w:rPr>
          <w:sz w:val="24"/>
          <w:szCs w:val="24"/>
        </w:rPr>
        <w:t xml:space="preserve"> o</w:t>
      </w:r>
      <w:r w:rsidR="008836DB">
        <w:rPr>
          <w:sz w:val="24"/>
          <w:szCs w:val="24"/>
        </w:rPr>
        <w:t> </w:t>
      </w:r>
      <w:r w:rsidR="00E72039">
        <w:rPr>
          <w:sz w:val="24"/>
          <w:szCs w:val="24"/>
        </w:rPr>
        <w:t>35</w:t>
      </w:r>
      <w:r w:rsidR="008836DB">
        <w:rPr>
          <w:sz w:val="24"/>
          <w:szCs w:val="24"/>
        </w:rPr>
        <w:t> </w:t>
      </w:r>
      <w:r w:rsidR="00E72039">
        <w:rPr>
          <w:sz w:val="24"/>
          <w:szCs w:val="24"/>
        </w:rPr>
        <w:t xml:space="preserve">%. </w:t>
      </w:r>
      <w:r w:rsidR="00E72039" w:rsidRPr="003E4AF8">
        <w:rPr>
          <w:rFonts w:cstheme="minorHAnsi"/>
          <w:sz w:val="24"/>
          <w:szCs w:val="24"/>
        </w:rPr>
        <w:t>Uvedená skutečnost byla způsobená rychlejším růstem inkasa DPPO než výdajů. Meziroční nárůst inkasa DPPO byl ovlivněn zejména vyšší ziskovostí firem a s tím souvisejícím nárůstem inkasa DPPO především v energetickém sektoru, v oblastech finančního zprostředkování a</w:t>
      </w:r>
      <w:r w:rsidR="00E72039">
        <w:rPr>
          <w:rFonts w:cstheme="minorHAnsi"/>
          <w:sz w:val="24"/>
          <w:szCs w:val="24"/>
        </w:rPr>
        <w:t> </w:t>
      </w:r>
      <w:r w:rsidR="00E72039" w:rsidRPr="003E4AF8">
        <w:rPr>
          <w:rFonts w:cstheme="minorHAnsi"/>
          <w:sz w:val="24"/>
          <w:szCs w:val="24"/>
        </w:rPr>
        <w:t>výroby chemických látek a přípravků.</w:t>
      </w:r>
    </w:p>
    <w:p w14:paraId="282690C7" w14:textId="27B79289" w:rsidR="00FD472B" w:rsidRPr="006B4E2A" w:rsidRDefault="0010595A" w:rsidP="009538CB">
      <w:pPr>
        <w:pStyle w:val="Odstavecseseznamem"/>
        <w:keepNext/>
        <w:spacing w:before="240" w:after="120"/>
        <w:ind w:left="284" w:hanging="284"/>
        <w:contextualSpacing w:val="0"/>
        <w:rPr>
          <w:rFonts w:ascii="Calibri" w:hAnsi="Calibri" w:cs="Calibri"/>
          <w:b/>
          <w:bCs/>
          <w:sz w:val="24"/>
          <w:szCs w:val="24"/>
        </w:rPr>
      </w:pPr>
      <w:r>
        <w:rPr>
          <w:rFonts w:ascii="Calibri" w:hAnsi="Calibri" w:cs="Calibri"/>
          <w:b/>
          <w:bCs/>
          <w:sz w:val="24"/>
          <w:szCs w:val="24"/>
        </w:rPr>
        <w:t xml:space="preserve">8. </w:t>
      </w:r>
      <w:r w:rsidR="001624C9">
        <w:rPr>
          <w:rFonts w:ascii="Calibri" w:hAnsi="Calibri" w:cs="Calibri"/>
          <w:b/>
          <w:bCs/>
          <w:sz w:val="24"/>
          <w:szCs w:val="24"/>
        </w:rPr>
        <w:tab/>
      </w:r>
      <w:r w:rsidR="00FD472B" w:rsidRPr="006B4E2A">
        <w:rPr>
          <w:rFonts w:ascii="Calibri" w:hAnsi="Calibri" w:cs="Calibri"/>
          <w:b/>
          <w:bCs/>
          <w:sz w:val="24"/>
          <w:szCs w:val="24"/>
        </w:rPr>
        <w:t>MF</w:t>
      </w:r>
      <w:r w:rsidR="0093271E">
        <w:rPr>
          <w:rFonts w:ascii="Calibri" w:hAnsi="Calibri" w:cs="Calibri"/>
          <w:b/>
          <w:bCs/>
          <w:sz w:val="24"/>
          <w:szCs w:val="24"/>
        </w:rPr>
        <w:t xml:space="preserve"> splnilo všechna opatření přijatá k </w:t>
      </w:r>
      <w:r w:rsidR="00FD472B" w:rsidRPr="006B4E2A">
        <w:rPr>
          <w:rFonts w:ascii="Calibri" w:hAnsi="Calibri" w:cs="Calibri"/>
          <w:b/>
          <w:bCs/>
          <w:sz w:val="24"/>
          <w:szCs w:val="24"/>
        </w:rPr>
        <w:t xml:space="preserve">nápravě nedostatků </w:t>
      </w:r>
      <w:r w:rsidR="00A11197" w:rsidRPr="006B4E2A">
        <w:rPr>
          <w:rFonts w:ascii="Calibri" w:hAnsi="Calibri" w:cs="Calibri"/>
          <w:b/>
          <w:bCs/>
          <w:sz w:val="24"/>
          <w:szCs w:val="24"/>
        </w:rPr>
        <w:t>zjištěn</w:t>
      </w:r>
      <w:r w:rsidR="00A11197">
        <w:rPr>
          <w:rFonts w:ascii="Calibri" w:hAnsi="Calibri" w:cs="Calibri"/>
          <w:b/>
          <w:bCs/>
          <w:sz w:val="24"/>
          <w:szCs w:val="24"/>
        </w:rPr>
        <w:t>ých</w:t>
      </w:r>
      <w:r w:rsidR="00A11197" w:rsidRPr="006B4E2A">
        <w:rPr>
          <w:rFonts w:ascii="Calibri" w:hAnsi="Calibri" w:cs="Calibri"/>
          <w:b/>
          <w:bCs/>
          <w:sz w:val="24"/>
          <w:szCs w:val="24"/>
        </w:rPr>
        <w:t xml:space="preserve"> </w:t>
      </w:r>
      <w:r w:rsidR="00FD472B" w:rsidRPr="006B4E2A">
        <w:rPr>
          <w:rFonts w:ascii="Calibri" w:hAnsi="Calibri" w:cs="Calibri"/>
          <w:b/>
          <w:bCs/>
          <w:sz w:val="24"/>
          <w:szCs w:val="24"/>
        </w:rPr>
        <w:t>v kontrolní akci č.</w:t>
      </w:r>
      <w:r w:rsidR="001624C9">
        <w:rPr>
          <w:rFonts w:ascii="Calibri" w:hAnsi="Calibri" w:cs="Calibri"/>
          <w:b/>
          <w:bCs/>
          <w:sz w:val="24"/>
          <w:szCs w:val="24"/>
        </w:rPr>
        <w:t> </w:t>
      </w:r>
      <w:r w:rsidR="00FD472B" w:rsidRPr="006B4E2A">
        <w:rPr>
          <w:rFonts w:ascii="Calibri" w:hAnsi="Calibri" w:cs="Calibri"/>
          <w:b/>
          <w:bCs/>
          <w:sz w:val="24"/>
          <w:szCs w:val="24"/>
        </w:rPr>
        <w:t>17/21</w:t>
      </w:r>
      <w:r w:rsidR="008836DB">
        <w:rPr>
          <w:rFonts w:ascii="Calibri" w:hAnsi="Calibri" w:cs="Calibri"/>
          <w:b/>
          <w:bCs/>
          <w:sz w:val="24"/>
          <w:szCs w:val="24"/>
        </w:rPr>
        <w:t xml:space="preserve"> –</w:t>
      </w:r>
      <w:r w:rsidR="00FD472B" w:rsidRPr="006B4E2A">
        <w:rPr>
          <w:rFonts w:ascii="Calibri" w:hAnsi="Calibri" w:cs="Calibri"/>
          <w:b/>
          <w:bCs/>
          <w:sz w:val="24"/>
          <w:szCs w:val="24"/>
        </w:rPr>
        <w:t xml:space="preserve"> </w:t>
      </w:r>
      <w:r w:rsidR="00FD472B" w:rsidRPr="006B4E2A">
        <w:rPr>
          <w:rFonts w:ascii="Calibri" w:hAnsi="Calibri" w:cs="Calibri"/>
          <w:b/>
          <w:bCs/>
          <w:i/>
          <w:iCs/>
          <w:sz w:val="24"/>
          <w:szCs w:val="24"/>
        </w:rPr>
        <w:t>Správa daně z příjmů právnických osob</w:t>
      </w:r>
    </w:p>
    <w:p w14:paraId="6A8CF310" w14:textId="6604C3FE" w:rsidR="00FD472B" w:rsidRPr="00B93F78" w:rsidRDefault="00FD472B" w:rsidP="00BC7C63">
      <w:pPr>
        <w:spacing w:before="120" w:after="120"/>
        <w:jc w:val="both"/>
        <w:rPr>
          <w:rFonts w:ascii="Calibri" w:hAnsi="Calibri" w:cs="Calibri"/>
          <w:sz w:val="24"/>
          <w:szCs w:val="24"/>
        </w:rPr>
      </w:pPr>
      <w:r w:rsidRPr="00B93F78">
        <w:rPr>
          <w:rFonts w:ascii="Calibri" w:hAnsi="Calibri" w:cs="Calibri"/>
          <w:sz w:val="24"/>
          <w:szCs w:val="24"/>
        </w:rPr>
        <w:t>Vláda ČR svým usnesením ze dne 8. dubna 2019 č. 230</w:t>
      </w:r>
      <w:r w:rsidR="008836DB">
        <w:rPr>
          <w:rFonts w:ascii="Calibri" w:hAnsi="Calibri" w:cs="Calibri"/>
          <w:sz w:val="24"/>
          <w:szCs w:val="24"/>
        </w:rPr>
        <w:t>,</w:t>
      </w:r>
      <w:r w:rsidRPr="00B93F78">
        <w:rPr>
          <w:rFonts w:ascii="Calibri" w:hAnsi="Calibri" w:cs="Calibri"/>
          <w:sz w:val="24"/>
          <w:szCs w:val="24"/>
        </w:rPr>
        <w:t xml:space="preserve"> </w:t>
      </w:r>
      <w:r w:rsidRPr="00814652">
        <w:rPr>
          <w:rFonts w:ascii="Calibri" w:hAnsi="Calibri" w:cs="Calibri"/>
          <w:i/>
          <w:sz w:val="24"/>
          <w:szCs w:val="24"/>
        </w:rPr>
        <w:t>ke Kontrolnímu závěru Nejvyššího kontrolního úřadu z KA č. 17/21</w:t>
      </w:r>
      <w:r w:rsidR="009538CB" w:rsidRPr="009538CB">
        <w:t xml:space="preserve"> </w:t>
      </w:r>
      <w:r w:rsidR="009538CB" w:rsidRPr="009538CB">
        <w:rPr>
          <w:rFonts w:ascii="Calibri" w:hAnsi="Calibri" w:cs="Calibri"/>
          <w:i/>
          <w:sz w:val="24"/>
          <w:szCs w:val="24"/>
        </w:rPr>
        <w:t>Správa daně z příjmů právnických osob</w:t>
      </w:r>
      <w:r w:rsidR="009538CB">
        <w:rPr>
          <w:rFonts w:ascii="Calibri" w:hAnsi="Calibri" w:cs="Calibri"/>
          <w:sz w:val="24"/>
          <w:szCs w:val="24"/>
        </w:rPr>
        <w:t>,</w:t>
      </w:r>
      <w:r w:rsidRPr="00B93F78">
        <w:rPr>
          <w:rFonts w:ascii="Calibri" w:hAnsi="Calibri" w:cs="Calibri"/>
          <w:sz w:val="24"/>
          <w:szCs w:val="24"/>
        </w:rPr>
        <w:t xml:space="preserve"> uložila ministryni financí realizovat opatření k</w:t>
      </w:r>
      <w:r w:rsidR="005E7217">
        <w:rPr>
          <w:rFonts w:ascii="Calibri" w:hAnsi="Calibri" w:cs="Calibri"/>
          <w:sz w:val="24"/>
          <w:szCs w:val="24"/>
        </w:rPr>
        <w:t> </w:t>
      </w:r>
      <w:r w:rsidRPr="00B93F78">
        <w:rPr>
          <w:rFonts w:ascii="Calibri" w:hAnsi="Calibri" w:cs="Calibri"/>
          <w:sz w:val="24"/>
          <w:szCs w:val="24"/>
        </w:rPr>
        <w:t xml:space="preserve">nápravě nedostatků </w:t>
      </w:r>
      <w:r w:rsidR="00887275" w:rsidRPr="00B93F78">
        <w:rPr>
          <w:rFonts w:ascii="Calibri" w:hAnsi="Calibri" w:cs="Calibri"/>
          <w:sz w:val="24"/>
          <w:szCs w:val="24"/>
        </w:rPr>
        <w:t>zjištěných</w:t>
      </w:r>
      <w:r w:rsidR="00887275">
        <w:rPr>
          <w:rFonts w:ascii="Calibri" w:hAnsi="Calibri" w:cs="Calibri"/>
          <w:sz w:val="24"/>
          <w:szCs w:val="24"/>
        </w:rPr>
        <w:t xml:space="preserve"> kontrolou NKÚ</w:t>
      </w:r>
      <w:r w:rsidR="00887275" w:rsidRPr="00B93F78">
        <w:rPr>
          <w:rFonts w:ascii="Calibri" w:hAnsi="Calibri" w:cs="Calibri"/>
          <w:sz w:val="24"/>
          <w:szCs w:val="24"/>
        </w:rPr>
        <w:t xml:space="preserve"> obsažen</w:t>
      </w:r>
      <w:r w:rsidR="00887275">
        <w:rPr>
          <w:rFonts w:ascii="Calibri" w:hAnsi="Calibri" w:cs="Calibri"/>
          <w:sz w:val="24"/>
          <w:szCs w:val="24"/>
        </w:rPr>
        <w:t>ých</w:t>
      </w:r>
      <w:r w:rsidR="00887275" w:rsidRPr="00B93F78">
        <w:rPr>
          <w:rFonts w:ascii="Calibri" w:hAnsi="Calibri" w:cs="Calibri"/>
          <w:sz w:val="24"/>
          <w:szCs w:val="24"/>
        </w:rPr>
        <w:t xml:space="preserve"> </w:t>
      </w:r>
      <w:r w:rsidRPr="00B93F78">
        <w:rPr>
          <w:rFonts w:ascii="Calibri" w:hAnsi="Calibri" w:cs="Calibri"/>
          <w:sz w:val="24"/>
          <w:szCs w:val="24"/>
        </w:rPr>
        <w:t>ve stanovisku</w:t>
      </w:r>
      <w:r w:rsidR="00887275">
        <w:rPr>
          <w:rFonts w:ascii="Calibri" w:hAnsi="Calibri" w:cs="Calibri"/>
          <w:sz w:val="24"/>
          <w:szCs w:val="24"/>
        </w:rPr>
        <w:t xml:space="preserve"> MF ke kontrolnímu závěru</w:t>
      </w:r>
      <w:r w:rsidRPr="00B93F78">
        <w:rPr>
          <w:rFonts w:ascii="Calibri" w:hAnsi="Calibri" w:cs="Calibri"/>
          <w:sz w:val="24"/>
          <w:szCs w:val="24"/>
        </w:rPr>
        <w:t xml:space="preserve">. </w:t>
      </w:r>
    </w:p>
    <w:p w14:paraId="3CC190CD" w14:textId="55912F41" w:rsidR="00DB4330" w:rsidRPr="0093271E" w:rsidRDefault="0093271E" w:rsidP="000D3D2C">
      <w:pPr>
        <w:spacing w:before="120" w:after="120"/>
        <w:jc w:val="both"/>
        <w:rPr>
          <w:rFonts w:ascii="Calibri" w:hAnsi="Calibri" w:cs="Calibri"/>
          <w:sz w:val="24"/>
          <w:szCs w:val="24"/>
        </w:rPr>
      </w:pPr>
      <w:r>
        <w:rPr>
          <w:rFonts w:ascii="Calibri" w:hAnsi="Calibri" w:cs="Calibri"/>
          <w:sz w:val="24"/>
          <w:szCs w:val="24"/>
        </w:rPr>
        <w:t>MF splnilo všechna přijatá opatření, pouze</w:t>
      </w:r>
      <w:r w:rsidRPr="0093271E">
        <w:rPr>
          <w:rFonts w:ascii="Calibri" w:hAnsi="Calibri" w:cs="Calibri"/>
          <w:sz w:val="24"/>
          <w:szCs w:val="24"/>
        </w:rPr>
        <w:t xml:space="preserve"> </w:t>
      </w:r>
      <w:r w:rsidRPr="00B93F78">
        <w:rPr>
          <w:rFonts w:ascii="Calibri" w:hAnsi="Calibri" w:cs="Calibri"/>
          <w:sz w:val="24"/>
          <w:szCs w:val="24"/>
        </w:rPr>
        <w:t>o půl roku překročilo lhůtu, kterou stanovil</w:t>
      </w:r>
      <w:r>
        <w:rPr>
          <w:rFonts w:ascii="Calibri" w:hAnsi="Calibri" w:cs="Calibri"/>
          <w:sz w:val="24"/>
          <w:szCs w:val="24"/>
        </w:rPr>
        <w:t>a vláda</w:t>
      </w:r>
      <w:r w:rsidRPr="00B93F78">
        <w:rPr>
          <w:rFonts w:ascii="Calibri" w:hAnsi="Calibri" w:cs="Calibri"/>
          <w:sz w:val="24"/>
          <w:szCs w:val="24"/>
        </w:rPr>
        <w:t xml:space="preserve"> pro</w:t>
      </w:r>
      <w:r>
        <w:rPr>
          <w:rFonts w:ascii="Calibri" w:hAnsi="Calibri" w:cs="Calibri"/>
          <w:sz w:val="24"/>
          <w:szCs w:val="24"/>
        </w:rPr>
        <w:t xml:space="preserve"> provedení odhadu výše daňové mezery DPPO. </w:t>
      </w:r>
    </w:p>
    <w:p w14:paraId="68DCCFBA" w14:textId="487D6936" w:rsidR="004C1775" w:rsidRPr="00A1758E" w:rsidRDefault="0093232C" w:rsidP="001624C9">
      <w:pPr>
        <w:pStyle w:val="Nadpis1"/>
        <w:numPr>
          <w:ilvl w:val="0"/>
          <w:numId w:val="0"/>
        </w:numPr>
        <w:spacing w:before="600" w:line="259" w:lineRule="auto"/>
        <w:jc w:val="left"/>
      </w:pPr>
      <w:r w:rsidRPr="00A1758E">
        <w:t>Seznam zkratek</w:t>
      </w:r>
    </w:p>
    <w:p w14:paraId="4C9B1C27" w14:textId="1B95101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ADIS</w:t>
      </w:r>
      <w:r w:rsidRPr="001624C9">
        <w:rPr>
          <w:rFonts w:ascii="Calibri" w:eastAsia="Times New Roman" w:hAnsi="Calibri" w:cs="Calibri"/>
          <w:color w:val="000000"/>
          <w:sz w:val="24"/>
          <w:szCs w:val="24"/>
          <w:lang w:eastAsia="cs-CZ"/>
        </w:rPr>
        <w:tab/>
      </w:r>
      <w:r w:rsidRPr="00F44856">
        <w:rPr>
          <w:rFonts w:ascii="Calibri" w:hAnsi="Calibri" w:cs="Calibri"/>
          <w:i/>
          <w:sz w:val="24"/>
          <w:szCs w:val="24"/>
        </w:rPr>
        <w:t>Automatizovaný daňový informační systém</w:t>
      </w:r>
    </w:p>
    <w:p w14:paraId="7593D5B0" w14:textId="4096F4DC" w:rsidR="00FC08BA" w:rsidRPr="001624C9" w:rsidRDefault="00FC08BA" w:rsidP="00FC08BA">
      <w:pPr>
        <w:spacing w:before="20" w:after="20"/>
        <w:ind w:left="2552" w:hanging="2552"/>
        <w:rPr>
          <w:rFonts w:ascii="Calibri" w:hAnsi="Calibri" w:cs="Calibri"/>
          <w:sz w:val="24"/>
          <w:szCs w:val="24"/>
        </w:rPr>
      </w:pPr>
      <w:r w:rsidRPr="001624C9">
        <w:rPr>
          <w:rFonts w:ascii="Calibri" w:eastAsia="Times New Roman" w:hAnsi="Calibri" w:cs="Calibri"/>
          <w:color w:val="000000"/>
          <w:sz w:val="24"/>
          <w:szCs w:val="24"/>
          <w:lang w:eastAsia="cs-CZ"/>
        </w:rPr>
        <w:t>APEX</w:t>
      </w:r>
      <w:r w:rsidRPr="001624C9">
        <w:rPr>
          <w:rFonts w:ascii="Calibri" w:eastAsia="Times New Roman" w:hAnsi="Calibri" w:cs="Calibri"/>
          <w:color w:val="000000"/>
          <w:sz w:val="24"/>
          <w:szCs w:val="24"/>
          <w:lang w:eastAsia="cs-CZ"/>
        </w:rPr>
        <w:tab/>
      </w:r>
      <w:r w:rsidRPr="00301FF2">
        <w:rPr>
          <w:rFonts w:ascii="Calibri" w:hAnsi="Calibri" w:cs="Calibri"/>
          <w:i/>
          <w:sz w:val="24"/>
          <w:szCs w:val="24"/>
        </w:rPr>
        <w:t>Aplikace podpory exekucí</w:t>
      </w:r>
    </w:p>
    <w:p w14:paraId="4379B2C1" w14:textId="77777777" w:rsidR="00FC08BA" w:rsidRPr="001624C9" w:rsidRDefault="00FC08BA" w:rsidP="00FC08BA">
      <w:pPr>
        <w:spacing w:before="20" w:after="20"/>
        <w:ind w:left="2552" w:hanging="2552"/>
        <w:rPr>
          <w:rFonts w:ascii="Calibri" w:hAnsi="Calibri" w:cs="Calibri"/>
          <w:sz w:val="24"/>
          <w:szCs w:val="24"/>
        </w:rPr>
      </w:pPr>
      <w:r w:rsidRPr="001624C9">
        <w:rPr>
          <w:rFonts w:ascii="Calibri" w:eastAsia="Times New Roman" w:hAnsi="Calibri" w:cs="Calibri"/>
          <w:color w:val="000000"/>
          <w:sz w:val="24"/>
          <w:szCs w:val="24"/>
          <w:lang w:eastAsia="cs-CZ"/>
        </w:rPr>
        <w:t>AVI</w:t>
      </w:r>
      <w:r w:rsidRPr="001624C9">
        <w:rPr>
          <w:rFonts w:ascii="Calibri" w:eastAsia="Times New Roman" w:hAnsi="Calibri" w:cs="Calibri"/>
          <w:color w:val="000000"/>
          <w:sz w:val="24"/>
          <w:szCs w:val="24"/>
          <w:lang w:eastAsia="cs-CZ"/>
        </w:rPr>
        <w:tab/>
      </w:r>
      <w:r w:rsidRPr="001624C9">
        <w:rPr>
          <w:rFonts w:ascii="Calibri" w:hAnsi="Calibri" w:cs="Calibri"/>
          <w:sz w:val="24"/>
          <w:szCs w:val="24"/>
        </w:rPr>
        <w:t>automatická výměna informací</w:t>
      </w:r>
    </w:p>
    <w:p w14:paraId="2ECB6CA8"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DAP</w:t>
      </w:r>
      <w:r w:rsidRPr="001624C9">
        <w:rPr>
          <w:rFonts w:ascii="Calibri" w:eastAsia="Times New Roman" w:hAnsi="Calibri" w:cs="Calibri"/>
          <w:color w:val="000000"/>
          <w:sz w:val="24"/>
          <w:szCs w:val="24"/>
          <w:lang w:eastAsia="cs-CZ"/>
        </w:rPr>
        <w:tab/>
        <w:t>daňové přiznání k DPPO</w:t>
      </w:r>
    </w:p>
    <w:p w14:paraId="4D143B01"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dotazník YA</w:t>
      </w:r>
      <w:r w:rsidRPr="001624C9">
        <w:rPr>
          <w:rFonts w:ascii="Calibri" w:eastAsia="Times New Roman" w:hAnsi="Calibri" w:cs="Calibri"/>
          <w:color w:val="000000"/>
          <w:sz w:val="24"/>
          <w:szCs w:val="24"/>
          <w:lang w:eastAsia="cs-CZ"/>
        </w:rPr>
        <w:tab/>
      </w:r>
      <w:r w:rsidRPr="001624C9">
        <w:rPr>
          <w:rFonts w:ascii="Calibri" w:hAnsi="Calibri" w:cs="Calibri"/>
          <w:sz w:val="24"/>
          <w:szCs w:val="24"/>
        </w:rPr>
        <w:t>dotazník s názvem „</w:t>
      </w:r>
      <w:proofErr w:type="spellStart"/>
      <w:r w:rsidRPr="001624C9">
        <w:rPr>
          <w:rFonts w:ascii="Calibri" w:hAnsi="Calibri" w:cs="Calibri"/>
          <w:i/>
          <w:sz w:val="24"/>
          <w:szCs w:val="24"/>
        </w:rPr>
        <w:t>Yearly</w:t>
      </w:r>
      <w:proofErr w:type="spellEnd"/>
      <w:r w:rsidRPr="001624C9">
        <w:rPr>
          <w:rFonts w:ascii="Calibri" w:hAnsi="Calibri" w:cs="Calibri"/>
          <w:i/>
          <w:sz w:val="24"/>
          <w:szCs w:val="24"/>
        </w:rPr>
        <w:t xml:space="preserve"> </w:t>
      </w:r>
      <w:proofErr w:type="spellStart"/>
      <w:r w:rsidRPr="001624C9">
        <w:rPr>
          <w:rFonts w:ascii="Calibri" w:hAnsi="Calibri" w:cs="Calibri"/>
          <w:i/>
          <w:sz w:val="24"/>
          <w:szCs w:val="24"/>
        </w:rPr>
        <w:t>Assessment</w:t>
      </w:r>
      <w:proofErr w:type="spellEnd"/>
      <w:r w:rsidRPr="001624C9">
        <w:rPr>
          <w:rFonts w:ascii="Calibri" w:hAnsi="Calibri" w:cs="Calibri"/>
          <w:i/>
          <w:sz w:val="24"/>
          <w:szCs w:val="24"/>
        </w:rPr>
        <w:t>“</w:t>
      </w:r>
    </w:p>
    <w:p w14:paraId="1C286444"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DPPO</w:t>
      </w:r>
      <w:r w:rsidRPr="001624C9">
        <w:rPr>
          <w:rFonts w:ascii="Calibri" w:eastAsia="Times New Roman" w:hAnsi="Calibri" w:cs="Calibri"/>
          <w:color w:val="000000"/>
          <w:sz w:val="24"/>
          <w:szCs w:val="24"/>
          <w:lang w:eastAsia="cs-CZ"/>
        </w:rPr>
        <w:tab/>
        <w:t>daň z příjmů právnických osob</w:t>
      </w:r>
    </w:p>
    <w:p w14:paraId="549B4271"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EK</w:t>
      </w:r>
      <w:r w:rsidRPr="001624C9">
        <w:rPr>
          <w:rFonts w:ascii="Calibri" w:eastAsia="Times New Roman" w:hAnsi="Calibri" w:cs="Calibri"/>
          <w:color w:val="000000"/>
          <w:sz w:val="24"/>
          <w:szCs w:val="24"/>
          <w:lang w:eastAsia="cs-CZ"/>
        </w:rPr>
        <w:tab/>
        <w:t>Evropská komise</w:t>
      </w:r>
    </w:p>
    <w:p w14:paraId="6350DCAA"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FS ČR</w:t>
      </w:r>
      <w:r w:rsidRPr="001624C9">
        <w:rPr>
          <w:rFonts w:ascii="Calibri" w:eastAsia="Times New Roman" w:hAnsi="Calibri" w:cs="Calibri"/>
          <w:color w:val="000000"/>
          <w:sz w:val="24"/>
          <w:szCs w:val="24"/>
          <w:lang w:eastAsia="cs-CZ"/>
        </w:rPr>
        <w:tab/>
        <w:t>Finanční správa ČR</w:t>
      </w:r>
    </w:p>
    <w:p w14:paraId="302E4A03"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FÚ</w:t>
      </w:r>
      <w:r w:rsidRPr="001624C9">
        <w:rPr>
          <w:rFonts w:ascii="Calibri" w:eastAsia="Times New Roman" w:hAnsi="Calibri" w:cs="Calibri"/>
          <w:color w:val="000000"/>
          <w:sz w:val="24"/>
          <w:szCs w:val="24"/>
          <w:lang w:eastAsia="cs-CZ"/>
        </w:rPr>
        <w:tab/>
        <w:t>finanční úřad</w:t>
      </w:r>
    </w:p>
    <w:p w14:paraId="7ADA3046"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GFŘ</w:t>
      </w:r>
      <w:r w:rsidRPr="001624C9">
        <w:rPr>
          <w:rFonts w:ascii="Calibri" w:eastAsia="Times New Roman" w:hAnsi="Calibri" w:cs="Calibri"/>
          <w:color w:val="000000"/>
          <w:sz w:val="24"/>
          <w:szCs w:val="24"/>
          <w:lang w:eastAsia="cs-CZ"/>
        </w:rPr>
        <w:tab/>
        <w:t>Generální finanční ředitelství</w:t>
      </w:r>
    </w:p>
    <w:p w14:paraId="1F7AEFCF" w14:textId="526A0140"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KA č. 17/21</w:t>
      </w:r>
      <w:r w:rsidRPr="001624C9">
        <w:rPr>
          <w:rFonts w:ascii="Calibri" w:eastAsia="Times New Roman" w:hAnsi="Calibri" w:cs="Calibri"/>
          <w:color w:val="000000"/>
          <w:sz w:val="24"/>
          <w:szCs w:val="24"/>
          <w:lang w:eastAsia="cs-CZ"/>
        </w:rPr>
        <w:tab/>
        <w:t>kontrolní akce NKÚ č. 17/21</w:t>
      </w:r>
      <w:r w:rsidR="00790696">
        <w:rPr>
          <w:rFonts w:ascii="Calibri" w:eastAsia="Times New Roman" w:hAnsi="Calibri" w:cs="Calibri"/>
          <w:color w:val="000000"/>
          <w:sz w:val="24"/>
          <w:szCs w:val="24"/>
          <w:lang w:eastAsia="cs-CZ"/>
        </w:rPr>
        <w:t xml:space="preserve"> –</w:t>
      </w:r>
      <w:r w:rsidRPr="001624C9">
        <w:rPr>
          <w:rFonts w:ascii="Calibri" w:eastAsia="Times New Roman" w:hAnsi="Calibri" w:cs="Calibri"/>
          <w:color w:val="000000"/>
          <w:sz w:val="24"/>
          <w:szCs w:val="24"/>
          <w:lang w:eastAsia="cs-CZ"/>
        </w:rPr>
        <w:t xml:space="preserve"> </w:t>
      </w:r>
      <w:r w:rsidRPr="001624C9">
        <w:rPr>
          <w:rFonts w:ascii="Calibri" w:hAnsi="Calibri" w:cs="Calibri"/>
          <w:bCs/>
          <w:i/>
          <w:iCs/>
          <w:sz w:val="24"/>
          <w:szCs w:val="24"/>
        </w:rPr>
        <w:t>Správa daně z příjmů právnických osob</w:t>
      </w:r>
    </w:p>
    <w:p w14:paraId="4A4E8DC6"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NKÚ</w:t>
      </w:r>
      <w:r w:rsidRPr="001624C9">
        <w:rPr>
          <w:rFonts w:ascii="Calibri" w:eastAsia="Times New Roman" w:hAnsi="Calibri" w:cs="Calibri"/>
          <w:color w:val="000000"/>
          <w:sz w:val="24"/>
          <w:szCs w:val="24"/>
          <w:lang w:eastAsia="cs-CZ"/>
        </w:rPr>
        <w:tab/>
        <w:t>Nejvyšší kontrolní úřad</w:t>
      </w:r>
    </w:p>
    <w:p w14:paraId="42A1B9E6"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odchozí oznámení DAC6</w:t>
      </w:r>
      <w:r w:rsidRPr="001624C9">
        <w:rPr>
          <w:rFonts w:ascii="Calibri" w:eastAsia="Times New Roman" w:hAnsi="Calibri" w:cs="Calibri"/>
          <w:color w:val="000000"/>
          <w:sz w:val="24"/>
          <w:szCs w:val="24"/>
          <w:lang w:eastAsia="cs-CZ"/>
        </w:rPr>
        <w:tab/>
      </w:r>
      <w:r w:rsidRPr="001624C9">
        <w:rPr>
          <w:rFonts w:ascii="Calibri" w:hAnsi="Calibri" w:cs="Calibri"/>
          <w:sz w:val="24"/>
          <w:szCs w:val="24"/>
        </w:rPr>
        <w:t>oznámení DAC6 podaná od subjektů v ČR</w:t>
      </w:r>
    </w:p>
    <w:p w14:paraId="516585A5"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OFŘ</w:t>
      </w:r>
      <w:r w:rsidRPr="001624C9">
        <w:rPr>
          <w:rFonts w:ascii="Calibri" w:eastAsia="Times New Roman" w:hAnsi="Calibri" w:cs="Calibri"/>
          <w:color w:val="000000"/>
          <w:sz w:val="24"/>
          <w:szCs w:val="24"/>
          <w:lang w:eastAsia="cs-CZ"/>
        </w:rPr>
        <w:tab/>
        <w:t>Odvolací finanční ředitelství</w:t>
      </w:r>
    </w:p>
    <w:p w14:paraId="3EC4E3A8"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OECD</w:t>
      </w:r>
      <w:r w:rsidRPr="001624C9">
        <w:rPr>
          <w:rFonts w:ascii="Calibri" w:eastAsia="Times New Roman" w:hAnsi="Calibri" w:cs="Calibri"/>
          <w:color w:val="000000"/>
          <w:sz w:val="24"/>
          <w:szCs w:val="24"/>
          <w:lang w:eastAsia="cs-CZ"/>
        </w:rPr>
        <w:tab/>
        <w:t>Organizace pro hospodářskou spolupráci a rozvoj</w:t>
      </w:r>
    </w:p>
    <w:p w14:paraId="225E8045"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oznámení DAC6</w:t>
      </w:r>
      <w:r w:rsidRPr="001624C9">
        <w:rPr>
          <w:rFonts w:ascii="Calibri" w:eastAsia="Times New Roman" w:hAnsi="Calibri" w:cs="Calibri"/>
          <w:color w:val="000000"/>
          <w:sz w:val="24"/>
          <w:szCs w:val="24"/>
          <w:lang w:eastAsia="cs-CZ"/>
        </w:rPr>
        <w:tab/>
      </w:r>
      <w:r w:rsidRPr="001624C9">
        <w:rPr>
          <w:rFonts w:ascii="Calibri" w:hAnsi="Calibri" w:cs="Calibri"/>
          <w:sz w:val="24"/>
          <w:szCs w:val="24"/>
          <w:lang w:eastAsia="cs-CZ"/>
        </w:rPr>
        <w:t>oznámení o oznamovaném přeshraničním uspořádání</w:t>
      </w:r>
    </w:p>
    <w:p w14:paraId="1E6BA18C" w14:textId="77777777"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příchozí oznámení DAC6</w:t>
      </w:r>
      <w:r w:rsidRPr="001624C9">
        <w:rPr>
          <w:rFonts w:ascii="Calibri" w:eastAsia="Times New Roman" w:hAnsi="Calibri" w:cs="Calibri"/>
          <w:color w:val="000000"/>
          <w:sz w:val="24"/>
          <w:szCs w:val="24"/>
          <w:lang w:eastAsia="cs-CZ"/>
        </w:rPr>
        <w:tab/>
      </w:r>
      <w:r w:rsidRPr="001624C9">
        <w:rPr>
          <w:rFonts w:ascii="Calibri" w:hAnsi="Calibri" w:cs="Calibri"/>
          <w:sz w:val="24"/>
          <w:szCs w:val="24"/>
        </w:rPr>
        <w:t>oznámení DAC6 podaná v zahraničí a týkajících se subjektů z ČR</w:t>
      </w:r>
    </w:p>
    <w:p w14:paraId="22214078" w14:textId="77777777" w:rsidR="00FC08BA" w:rsidRPr="001624C9" w:rsidRDefault="00FC08BA" w:rsidP="00FC08BA">
      <w:pPr>
        <w:spacing w:before="20" w:after="20"/>
        <w:ind w:left="2552" w:hanging="2552"/>
        <w:rPr>
          <w:rFonts w:ascii="Calibri" w:hAnsi="Calibri" w:cs="Calibri"/>
          <w:sz w:val="24"/>
          <w:szCs w:val="24"/>
          <w:lang w:eastAsia="cs-CZ"/>
        </w:rPr>
      </w:pPr>
      <w:r w:rsidRPr="001624C9">
        <w:rPr>
          <w:rFonts w:ascii="Calibri" w:eastAsia="Times New Roman" w:hAnsi="Calibri" w:cs="Calibri"/>
          <w:color w:val="000000"/>
          <w:sz w:val="24"/>
          <w:szCs w:val="24"/>
          <w:lang w:eastAsia="cs-CZ"/>
        </w:rPr>
        <w:t>SFÚ</w:t>
      </w:r>
      <w:r w:rsidRPr="001624C9">
        <w:rPr>
          <w:rFonts w:ascii="Calibri" w:eastAsia="Times New Roman" w:hAnsi="Calibri" w:cs="Calibri"/>
          <w:color w:val="000000"/>
          <w:sz w:val="24"/>
          <w:szCs w:val="24"/>
          <w:lang w:eastAsia="cs-CZ"/>
        </w:rPr>
        <w:tab/>
      </w:r>
      <w:r w:rsidRPr="001624C9">
        <w:rPr>
          <w:rFonts w:ascii="Calibri" w:hAnsi="Calibri" w:cs="Calibri"/>
          <w:sz w:val="24"/>
          <w:szCs w:val="24"/>
          <w:lang w:eastAsia="cs-CZ"/>
        </w:rPr>
        <w:t>Specializovaný finanční úřad</w:t>
      </w:r>
    </w:p>
    <w:p w14:paraId="70B2EF71" w14:textId="7CF54589"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směrnice ATAD</w:t>
      </w:r>
      <w:r w:rsidRPr="001624C9">
        <w:rPr>
          <w:rFonts w:ascii="Calibri" w:eastAsia="Times New Roman" w:hAnsi="Calibri" w:cs="Calibri"/>
          <w:color w:val="000000"/>
          <w:sz w:val="24"/>
          <w:szCs w:val="24"/>
          <w:lang w:eastAsia="cs-CZ"/>
        </w:rPr>
        <w:tab/>
      </w:r>
      <w:r w:rsidR="00790696">
        <w:rPr>
          <w:rFonts w:ascii="Calibri" w:eastAsia="Times New Roman" w:hAnsi="Calibri" w:cs="Calibri"/>
          <w:color w:val="000000"/>
          <w:sz w:val="24"/>
          <w:szCs w:val="24"/>
          <w:lang w:eastAsia="cs-CZ"/>
        </w:rPr>
        <w:t>s</w:t>
      </w:r>
      <w:r w:rsidRPr="001624C9">
        <w:rPr>
          <w:rFonts w:ascii="Calibri" w:eastAsia="Times New Roman" w:hAnsi="Calibri" w:cs="Calibri"/>
          <w:color w:val="000000"/>
          <w:sz w:val="24"/>
          <w:szCs w:val="24"/>
          <w:lang w:eastAsia="cs-CZ"/>
        </w:rPr>
        <w:t xml:space="preserve">měrnice Rady (EU) 2016/1164 ze dne 12. července 2016, kterou se stanoví pravidla proti praktikám vyhýbání se daňovým povinnostem, které mají přímý vliv na fungování vnitřního trhu, která byla v roce 2017 novelizovaná </w:t>
      </w:r>
      <w:r w:rsidR="00790696">
        <w:rPr>
          <w:rFonts w:ascii="Calibri" w:eastAsia="Times New Roman" w:hAnsi="Calibri" w:cs="Calibri"/>
          <w:color w:val="000000"/>
          <w:sz w:val="24"/>
          <w:szCs w:val="24"/>
          <w:lang w:eastAsia="cs-CZ"/>
        </w:rPr>
        <w:t>s</w:t>
      </w:r>
      <w:r w:rsidRPr="001624C9">
        <w:rPr>
          <w:rFonts w:ascii="Calibri" w:eastAsia="Times New Roman" w:hAnsi="Calibri" w:cs="Calibri"/>
          <w:color w:val="000000"/>
          <w:sz w:val="24"/>
          <w:szCs w:val="24"/>
          <w:lang w:eastAsia="cs-CZ"/>
        </w:rPr>
        <w:t>měrnicí Rady (EU) 2017/952 ze dne 29. května 2017, kterou se mění směrnice (EU) 2016/1164, pokud jde o hybridní nesoulady s třetími zeměmi</w:t>
      </w:r>
    </w:p>
    <w:p w14:paraId="1B98B691" w14:textId="687987A9"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směrnice DAC6</w:t>
      </w:r>
      <w:r w:rsidRPr="001624C9">
        <w:rPr>
          <w:rFonts w:ascii="Calibri" w:eastAsia="Times New Roman" w:hAnsi="Calibri" w:cs="Calibri"/>
          <w:color w:val="000000"/>
          <w:sz w:val="24"/>
          <w:szCs w:val="24"/>
          <w:lang w:eastAsia="cs-CZ"/>
        </w:rPr>
        <w:tab/>
      </w:r>
      <w:r w:rsidR="00790696">
        <w:rPr>
          <w:rFonts w:ascii="Calibri" w:eastAsia="Times New Roman" w:hAnsi="Calibri" w:cs="Calibri"/>
          <w:color w:val="000000"/>
          <w:sz w:val="24"/>
          <w:szCs w:val="24"/>
          <w:lang w:eastAsia="cs-CZ"/>
        </w:rPr>
        <w:t>s</w:t>
      </w:r>
      <w:r w:rsidRPr="001624C9">
        <w:rPr>
          <w:rFonts w:ascii="Calibri" w:eastAsia="Times New Roman" w:hAnsi="Calibri" w:cs="Calibri"/>
          <w:color w:val="000000"/>
          <w:sz w:val="24"/>
          <w:szCs w:val="24"/>
          <w:lang w:eastAsia="cs-CZ"/>
        </w:rPr>
        <w:t>měrnice Rady (EU) 2018/822 ze dne 25. května 2018, kterou se mění směrnice 2011/16/EU, pokud jde o povinnou automatickou výměnu informací v oblasti daní ve vztahu k přeshraničním uspořádáním, která se mají oznamovat</w:t>
      </w:r>
    </w:p>
    <w:p w14:paraId="4CA09D89" w14:textId="19565801"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z</w:t>
      </w:r>
      <w:r w:rsidRPr="001624C9">
        <w:rPr>
          <w:rFonts w:ascii="Calibri" w:eastAsia="Times New Roman" w:hAnsi="Calibri" w:cs="Calibri"/>
          <w:color w:val="000000"/>
          <w:sz w:val="24"/>
          <w:szCs w:val="24"/>
          <w:lang w:eastAsia="cs-CZ"/>
        </w:rPr>
        <w:t>ákon o daních z příjmů</w:t>
      </w:r>
      <w:r w:rsidRPr="001624C9">
        <w:rPr>
          <w:rFonts w:ascii="Calibri" w:eastAsia="Times New Roman" w:hAnsi="Calibri" w:cs="Calibri"/>
          <w:color w:val="000000"/>
          <w:sz w:val="24"/>
          <w:szCs w:val="24"/>
          <w:lang w:eastAsia="cs-CZ"/>
        </w:rPr>
        <w:tab/>
      </w:r>
      <w:r w:rsidR="00790696">
        <w:rPr>
          <w:rFonts w:ascii="Calibri" w:hAnsi="Calibri" w:cs="Calibri"/>
          <w:sz w:val="24"/>
          <w:szCs w:val="24"/>
        </w:rPr>
        <w:t>z</w:t>
      </w:r>
      <w:r w:rsidRPr="001624C9">
        <w:rPr>
          <w:rFonts w:ascii="Calibri" w:hAnsi="Calibri" w:cs="Calibri"/>
          <w:sz w:val="24"/>
          <w:szCs w:val="24"/>
        </w:rPr>
        <w:t>ákon České národní rady č. 586/1992 Sb., o daních z příjmů</w:t>
      </w:r>
    </w:p>
    <w:p w14:paraId="48C867D6" w14:textId="207AF0A3"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zákon č. 243/2000 Sb.</w:t>
      </w:r>
      <w:r w:rsidRPr="001624C9">
        <w:rPr>
          <w:rFonts w:ascii="Calibri" w:eastAsia="Times New Roman" w:hAnsi="Calibri" w:cs="Calibri"/>
          <w:color w:val="000000"/>
          <w:sz w:val="24"/>
          <w:szCs w:val="24"/>
          <w:lang w:eastAsia="cs-CZ"/>
        </w:rPr>
        <w:tab/>
      </w:r>
      <w:r w:rsidR="00790696">
        <w:rPr>
          <w:rFonts w:ascii="Calibri" w:eastAsia="Times New Roman" w:hAnsi="Calibri" w:cs="Calibri"/>
          <w:color w:val="000000"/>
          <w:sz w:val="24"/>
          <w:szCs w:val="24"/>
          <w:lang w:eastAsia="cs-CZ"/>
        </w:rPr>
        <w:t>z</w:t>
      </w:r>
      <w:r w:rsidRPr="001624C9">
        <w:rPr>
          <w:rFonts w:ascii="Calibri" w:eastAsia="Times New Roman" w:hAnsi="Calibri" w:cs="Calibri"/>
          <w:color w:val="000000"/>
          <w:sz w:val="24"/>
          <w:szCs w:val="24"/>
          <w:lang w:eastAsia="cs-CZ"/>
        </w:rPr>
        <w:t>ákon č. 243/2000 Sb., o rozpočtovém určení výnosů některých daní územním samosprávným celkům a některým státním fondům (zákon o rozpočtovém určení daní)</w:t>
      </w:r>
    </w:p>
    <w:p w14:paraId="4B445921" w14:textId="276E61A0"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hAnsi="Calibri" w:cs="Calibri"/>
          <w:sz w:val="24"/>
          <w:szCs w:val="24"/>
        </w:rPr>
        <w:t>zákon č. 300/2008 Sb.</w:t>
      </w:r>
      <w:r w:rsidRPr="001624C9">
        <w:rPr>
          <w:rFonts w:ascii="Calibri" w:eastAsia="Times New Roman" w:hAnsi="Calibri" w:cs="Calibri"/>
          <w:color w:val="000000"/>
          <w:sz w:val="24"/>
          <w:szCs w:val="24"/>
          <w:lang w:eastAsia="cs-CZ"/>
        </w:rPr>
        <w:tab/>
      </w:r>
      <w:r w:rsidR="00790696">
        <w:rPr>
          <w:rFonts w:ascii="Calibri" w:hAnsi="Calibri" w:cs="Calibri"/>
          <w:sz w:val="24"/>
          <w:szCs w:val="24"/>
        </w:rPr>
        <w:t>z</w:t>
      </w:r>
      <w:r w:rsidRPr="001624C9">
        <w:rPr>
          <w:rFonts w:ascii="Calibri" w:hAnsi="Calibri" w:cs="Calibri"/>
          <w:sz w:val="24"/>
          <w:szCs w:val="24"/>
        </w:rPr>
        <w:t>ákon č. 300/2008 Sb., o elektronických úkonech a autorizované konverzi dokumentů</w:t>
      </w:r>
    </w:p>
    <w:p w14:paraId="181C1F68" w14:textId="50A40ABF"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hAnsi="Calibri" w:cs="Calibri"/>
          <w:sz w:val="24"/>
          <w:szCs w:val="24"/>
        </w:rPr>
        <w:t>zákon č. 280/2009 Sb.</w:t>
      </w:r>
      <w:r w:rsidRPr="001624C9">
        <w:rPr>
          <w:rFonts w:ascii="Calibri" w:eastAsia="Times New Roman" w:hAnsi="Calibri" w:cs="Calibri"/>
          <w:color w:val="000000"/>
          <w:sz w:val="24"/>
          <w:szCs w:val="24"/>
          <w:lang w:eastAsia="cs-CZ"/>
        </w:rPr>
        <w:tab/>
      </w:r>
      <w:r w:rsidR="00790696">
        <w:rPr>
          <w:rFonts w:ascii="Calibri" w:eastAsia="Times New Roman" w:hAnsi="Calibri" w:cs="Calibri"/>
          <w:color w:val="000000"/>
          <w:sz w:val="24"/>
          <w:szCs w:val="24"/>
          <w:lang w:eastAsia="cs-CZ"/>
        </w:rPr>
        <w:t>z</w:t>
      </w:r>
      <w:r w:rsidRPr="001624C9">
        <w:rPr>
          <w:rFonts w:ascii="Calibri" w:eastAsia="Times New Roman" w:hAnsi="Calibri" w:cs="Calibri"/>
          <w:color w:val="000000"/>
          <w:sz w:val="24"/>
          <w:szCs w:val="24"/>
          <w:lang w:eastAsia="cs-CZ"/>
        </w:rPr>
        <w:t>ákon č. 280/2009 Sb., daňový řád</w:t>
      </w:r>
    </w:p>
    <w:p w14:paraId="09ED9926" w14:textId="403D1023"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hAnsi="Calibri" w:cs="Calibri"/>
          <w:sz w:val="24"/>
          <w:szCs w:val="24"/>
        </w:rPr>
        <w:t>zákon č. 456/2011 Sb.</w:t>
      </w:r>
      <w:r w:rsidRPr="001624C9">
        <w:rPr>
          <w:rFonts w:ascii="Calibri" w:hAnsi="Calibri" w:cs="Calibri"/>
          <w:sz w:val="24"/>
          <w:szCs w:val="24"/>
        </w:rPr>
        <w:tab/>
      </w:r>
      <w:r w:rsidR="00790696">
        <w:rPr>
          <w:rFonts w:ascii="Calibri" w:eastAsia="Times New Roman" w:hAnsi="Calibri" w:cs="Calibri"/>
          <w:color w:val="000000"/>
          <w:sz w:val="24"/>
          <w:szCs w:val="24"/>
          <w:lang w:eastAsia="cs-CZ"/>
        </w:rPr>
        <w:t>z</w:t>
      </w:r>
      <w:r w:rsidRPr="001624C9">
        <w:rPr>
          <w:rFonts w:ascii="Calibri" w:eastAsia="Times New Roman" w:hAnsi="Calibri" w:cs="Calibri"/>
          <w:color w:val="000000"/>
          <w:sz w:val="24"/>
          <w:szCs w:val="24"/>
          <w:lang w:eastAsia="cs-CZ"/>
        </w:rPr>
        <w:t>ákon č. 456/2011 Sb., o Finanční správě České republiky</w:t>
      </w:r>
    </w:p>
    <w:p w14:paraId="7B18FB67" w14:textId="01A0E4E3" w:rsidR="00FC08BA" w:rsidRPr="001624C9" w:rsidRDefault="00FC08BA" w:rsidP="00FC08BA">
      <w:pPr>
        <w:spacing w:before="20" w:after="20"/>
        <w:ind w:left="2552" w:hanging="2552"/>
        <w:rPr>
          <w:rFonts w:ascii="Calibri" w:hAnsi="Calibri" w:cs="Calibri"/>
          <w:sz w:val="24"/>
          <w:szCs w:val="24"/>
        </w:rPr>
      </w:pPr>
      <w:r w:rsidRPr="001624C9">
        <w:rPr>
          <w:rFonts w:ascii="Calibri" w:hAnsi="Calibri" w:cs="Calibri"/>
          <w:sz w:val="24"/>
          <w:szCs w:val="24"/>
        </w:rPr>
        <w:t>zákon č. 164/2013 Sb.</w:t>
      </w:r>
      <w:r w:rsidRPr="001624C9">
        <w:rPr>
          <w:rFonts w:ascii="Calibri" w:hAnsi="Calibri" w:cs="Calibri"/>
          <w:sz w:val="24"/>
          <w:szCs w:val="24"/>
        </w:rPr>
        <w:tab/>
      </w:r>
      <w:r w:rsidR="00790696">
        <w:rPr>
          <w:rFonts w:ascii="Calibri" w:hAnsi="Calibri" w:cs="Calibri"/>
          <w:sz w:val="24"/>
          <w:szCs w:val="24"/>
        </w:rPr>
        <w:t>z</w:t>
      </w:r>
      <w:r w:rsidRPr="001624C9">
        <w:rPr>
          <w:rFonts w:ascii="Calibri" w:hAnsi="Calibri" w:cs="Calibri"/>
          <w:sz w:val="24"/>
          <w:szCs w:val="24"/>
        </w:rPr>
        <w:t>ákon č. 164/2013 Sb., o mezinárodní spolupráci při správě daní a</w:t>
      </w:r>
      <w:r>
        <w:rPr>
          <w:rFonts w:ascii="Calibri" w:hAnsi="Calibri" w:cs="Calibri"/>
          <w:sz w:val="24"/>
          <w:szCs w:val="24"/>
        </w:rPr>
        <w:t> </w:t>
      </w:r>
      <w:r w:rsidRPr="001624C9">
        <w:rPr>
          <w:rFonts w:ascii="Calibri" w:hAnsi="Calibri" w:cs="Calibri"/>
          <w:sz w:val="24"/>
          <w:szCs w:val="24"/>
        </w:rPr>
        <w:t>o</w:t>
      </w:r>
      <w:r>
        <w:rPr>
          <w:rFonts w:ascii="Calibri" w:hAnsi="Calibri" w:cs="Calibri"/>
          <w:sz w:val="24"/>
          <w:szCs w:val="24"/>
        </w:rPr>
        <w:t> </w:t>
      </w:r>
      <w:r w:rsidRPr="001624C9">
        <w:rPr>
          <w:rFonts w:ascii="Calibri" w:hAnsi="Calibri" w:cs="Calibri"/>
          <w:sz w:val="24"/>
          <w:szCs w:val="24"/>
        </w:rPr>
        <w:t xml:space="preserve">změně dalších souvisejících zákonů </w:t>
      </w:r>
    </w:p>
    <w:p w14:paraId="08718BE4" w14:textId="14798799" w:rsidR="00FC08BA" w:rsidRPr="001624C9" w:rsidRDefault="00FC08BA" w:rsidP="00FC08BA">
      <w:pPr>
        <w:spacing w:before="20" w:after="20"/>
        <w:ind w:left="2552" w:hanging="2552"/>
        <w:rPr>
          <w:rFonts w:ascii="Calibri" w:hAnsi="Calibri" w:cs="Calibri"/>
          <w:sz w:val="24"/>
          <w:szCs w:val="24"/>
        </w:rPr>
      </w:pPr>
      <w:r w:rsidRPr="001624C9">
        <w:rPr>
          <w:rFonts w:ascii="Calibri" w:eastAsia="Times New Roman" w:hAnsi="Calibri" w:cs="Calibri"/>
          <w:color w:val="000000"/>
          <w:sz w:val="24"/>
          <w:szCs w:val="24"/>
          <w:lang w:eastAsia="cs-CZ"/>
        </w:rPr>
        <w:t>zákon č. 80/2019 Sb.</w:t>
      </w:r>
      <w:r w:rsidRPr="001624C9">
        <w:rPr>
          <w:rFonts w:ascii="Calibri" w:hAnsi="Calibri" w:cs="Calibri"/>
          <w:sz w:val="24"/>
          <w:szCs w:val="24"/>
        </w:rPr>
        <w:tab/>
      </w:r>
      <w:r w:rsidR="00790696">
        <w:rPr>
          <w:rFonts w:ascii="Calibri" w:eastAsia="Times New Roman" w:hAnsi="Calibri" w:cs="Calibri"/>
          <w:color w:val="000000"/>
          <w:sz w:val="24"/>
          <w:szCs w:val="24"/>
          <w:lang w:eastAsia="cs-CZ"/>
        </w:rPr>
        <w:t>z</w:t>
      </w:r>
      <w:r w:rsidRPr="001624C9">
        <w:rPr>
          <w:rFonts w:ascii="Calibri" w:eastAsia="Times New Roman" w:hAnsi="Calibri" w:cs="Calibri"/>
          <w:color w:val="000000"/>
          <w:sz w:val="24"/>
          <w:szCs w:val="24"/>
          <w:lang w:eastAsia="cs-CZ"/>
        </w:rPr>
        <w:t>ákon č. 80/2019 Sb., kterým se mění některé zákony v oblasti daní a některé další zákony</w:t>
      </w:r>
    </w:p>
    <w:p w14:paraId="07106BD8" w14:textId="1553B5BA" w:rsidR="00FC08BA" w:rsidRPr="001624C9" w:rsidRDefault="00FC08BA" w:rsidP="00FC08BA">
      <w:pPr>
        <w:spacing w:before="20" w:after="20"/>
        <w:ind w:left="2552" w:hanging="2552"/>
        <w:rPr>
          <w:rFonts w:ascii="Calibri" w:hAnsi="Calibri" w:cs="Calibri"/>
          <w:sz w:val="24"/>
          <w:szCs w:val="24"/>
        </w:rPr>
      </w:pPr>
      <w:r w:rsidRPr="001624C9">
        <w:rPr>
          <w:rFonts w:ascii="Calibri" w:eastAsia="Times New Roman" w:hAnsi="Calibri" w:cs="Calibri"/>
          <w:color w:val="000000"/>
          <w:sz w:val="24"/>
          <w:szCs w:val="24"/>
          <w:lang w:eastAsia="cs-CZ"/>
        </w:rPr>
        <w:t>zákon č. 343/2020 Sb.</w:t>
      </w:r>
      <w:r w:rsidRPr="001624C9">
        <w:rPr>
          <w:rFonts w:ascii="Calibri" w:hAnsi="Calibri" w:cs="Calibri"/>
          <w:sz w:val="24"/>
          <w:szCs w:val="24"/>
        </w:rPr>
        <w:tab/>
      </w:r>
      <w:r w:rsidR="00790696">
        <w:rPr>
          <w:rFonts w:ascii="Calibri" w:eastAsia="Times New Roman" w:hAnsi="Calibri" w:cs="Calibri"/>
          <w:color w:val="000000"/>
          <w:sz w:val="24"/>
          <w:szCs w:val="24"/>
          <w:lang w:eastAsia="cs-CZ"/>
        </w:rPr>
        <w:t>z</w:t>
      </w:r>
      <w:r w:rsidRPr="001624C9">
        <w:rPr>
          <w:rFonts w:ascii="Calibri" w:eastAsia="Times New Roman" w:hAnsi="Calibri" w:cs="Calibri"/>
          <w:color w:val="000000"/>
          <w:sz w:val="24"/>
          <w:szCs w:val="24"/>
          <w:lang w:eastAsia="cs-CZ"/>
        </w:rPr>
        <w:t>ákon č. 343/2020 Sb., kterým se mění některé zákony v</w:t>
      </w:r>
      <w:r>
        <w:rPr>
          <w:rFonts w:ascii="Calibri" w:eastAsia="Times New Roman" w:hAnsi="Calibri" w:cs="Calibri"/>
          <w:color w:val="000000"/>
          <w:sz w:val="24"/>
          <w:szCs w:val="24"/>
          <w:lang w:eastAsia="cs-CZ"/>
        </w:rPr>
        <w:t> </w:t>
      </w:r>
      <w:r w:rsidRPr="001624C9">
        <w:rPr>
          <w:rFonts w:ascii="Calibri" w:eastAsia="Times New Roman" w:hAnsi="Calibri" w:cs="Calibri"/>
          <w:color w:val="000000"/>
          <w:sz w:val="24"/>
          <w:szCs w:val="24"/>
          <w:lang w:eastAsia="cs-CZ"/>
        </w:rPr>
        <w:t>souvislosti s implementací daňových předpisů Evropské unie a</w:t>
      </w:r>
      <w:r>
        <w:rPr>
          <w:rFonts w:ascii="Calibri" w:eastAsia="Times New Roman" w:hAnsi="Calibri" w:cs="Calibri"/>
          <w:color w:val="000000"/>
          <w:sz w:val="24"/>
          <w:szCs w:val="24"/>
          <w:lang w:eastAsia="cs-CZ"/>
        </w:rPr>
        <w:t> </w:t>
      </w:r>
      <w:r w:rsidRPr="001624C9">
        <w:rPr>
          <w:rFonts w:ascii="Calibri" w:eastAsia="Times New Roman" w:hAnsi="Calibri" w:cs="Calibri"/>
          <w:color w:val="000000"/>
          <w:sz w:val="24"/>
          <w:szCs w:val="24"/>
          <w:lang w:eastAsia="cs-CZ"/>
        </w:rPr>
        <w:t>v</w:t>
      </w:r>
      <w:r>
        <w:rPr>
          <w:rFonts w:ascii="Calibri" w:eastAsia="Times New Roman" w:hAnsi="Calibri" w:cs="Calibri"/>
          <w:color w:val="000000"/>
          <w:sz w:val="24"/>
          <w:szCs w:val="24"/>
          <w:lang w:eastAsia="cs-CZ"/>
        </w:rPr>
        <w:t> </w:t>
      </w:r>
      <w:r w:rsidRPr="001624C9">
        <w:rPr>
          <w:rFonts w:ascii="Calibri" w:eastAsia="Times New Roman" w:hAnsi="Calibri" w:cs="Calibri"/>
          <w:color w:val="000000"/>
          <w:sz w:val="24"/>
          <w:szCs w:val="24"/>
          <w:lang w:eastAsia="cs-CZ"/>
        </w:rPr>
        <w:t>oblasti zamezení dvojímu zdanění</w:t>
      </w:r>
    </w:p>
    <w:p w14:paraId="1C05F1EC" w14:textId="476F67F0" w:rsidR="00FC08BA" w:rsidRPr="001624C9" w:rsidRDefault="00FC08BA" w:rsidP="00FC08BA">
      <w:pPr>
        <w:spacing w:before="20" w:after="20"/>
        <w:ind w:left="2552" w:hanging="2552"/>
        <w:rPr>
          <w:rFonts w:ascii="Calibri" w:eastAsia="Times New Roman" w:hAnsi="Calibri" w:cs="Calibri"/>
          <w:color w:val="000000"/>
          <w:sz w:val="24"/>
          <w:szCs w:val="24"/>
          <w:lang w:eastAsia="cs-CZ"/>
        </w:rPr>
      </w:pPr>
      <w:r w:rsidRPr="001624C9">
        <w:rPr>
          <w:rFonts w:ascii="Calibri" w:eastAsia="Times New Roman" w:hAnsi="Calibri" w:cs="Calibri"/>
          <w:color w:val="000000"/>
          <w:sz w:val="24"/>
          <w:szCs w:val="24"/>
          <w:lang w:eastAsia="cs-CZ"/>
        </w:rPr>
        <w:t>zákon č. 373/2022 Sb.</w:t>
      </w:r>
      <w:r w:rsidRPr="001624C9">
        <w:rPr>
          <w:rFonts w:ascii="Calibri" w:eastAsia="Times New Roman" w:hAnsi="Calibri" w:cs="Calibri"/>
          <w:color w:val="000000"/>
          <w:sz w:val="24"/>
          <w:szCs w:val="24"/>
          <w:lang w:eastAsia="cs-CZ"/>
        </w:rPr>
        <w:tab/>
      </w:r>
      <w:r w:rsidR="00790696">
        <w:rPr>
          <w:rFonts w:ascii="Calibri" w:eastAsia="Times New Roman" w:hAnsi="Calibri" w:cs="Calibri"/>
          <w:color w:val="000000"/>
          <w:sz w:val="24"/>
          <w:szCs w:val="24"/>
          <w:lang w:eastAsia="cs-CZ"/>
        </w:rPr>
        <w:t>z</w:t>
      </w:r>
      <w:r w:rsidRPr="001624C9">
        <w:rPr>
          <w:rFonts w:ascii="Calibri" w:eastAsia="Times New Roman" w:hAnsi="Calibri" w:cs="Calibri"/>
          <w:color w:val="000000"/>
          <w:sz w:val="24"/>
          <w:szCs w:val="24"/>
          <w:lang w:eastAsia="cs-CZ"/>
        </w:rPr>
        <w:t>ákon č. 373/2022 Sb., kterým se mění zákon č. 164/2013 Sb., o mezinárodní spolupráci při správě daní a o změně dalších souvisejících zákonů, ve znění pozdějších předpisů, a další související zákony</w:t>
      </w:r>
    </w:p>
    <w:p w14:paraId="54C61E31" w14:textId="77777777" w:rsidR="00A85CBD" w:rsidRDefault="00A85CBD" w:rsidP="00F2121D">
      <w:pPr>
        <w:rPr>
          <w:sz w:val="24"/>
          <w:szCs w:val="24"/>
        </w:rPr>
      </w:pPr>
    </w:p>
    <w:p w14:paraId="1688B3FA" w14:textId="77777777" w:rsidR="00B927FE" w:rsidRDefault="00B927FE" w:rsidP="00456FD0">
      <w:pPr>
        <w:rPr>
          <w:rFonts w:cstheme="minorHAnsi"/>
          <w:sz w:val="24"/>
          <w:szCs w:val="24"/>
          <w:highlight w:val="yellow"/>
          <w:lang w:eastAsia="cs-CZ"/>
        </w:rPr>
        <w:sectPr w:rsidR="00B927FE" w:rsidSect="009346BA">
          <w:footerReference w:type="default" r:id="rId18"/>
          <w:pgSz w:w="11906" w:h="16838"/>
          <w:pgMar w:top="1417" w:right="1417" w:bottom="1417" w:left="1418" w:header="708" w:footer="708" w:gutter="0"/>
          <w:cols w:space="708"/>
          <w:titlePg/>
          <w:docGrid w:linePitch="360"/>
        </w:sectPr>
      </w:pPr>
    </w:p>
    <w:p w14:paraId="4F811012" w14:textId="0E58AEBF" w:rsidR="00525A43" w:rsidRPr="00B927FE" w:rsidRDefault="00B927FE" w:rsidP="00B927FE">
      <w:pPr>
        <w:jc w:val="right"/>
        <w:rPr>
          <w:rFonts w:cstheme="minorHAnsi"/>
          <w:b/>
          <w:sz w:val="24"/>
          <w:szCs w:val="24"/>
          <w:lang w:eastAsia="cs-CZ"/>
        </w:rPr>
      </w:pPr>
      <w:r w:rsidRPr="00B927FE">
        <w:rPr>
          <w:rFonts w:cstheme="minorHAnsi"/>
          <w:b/>
          <w:sz w:val="24"/>
          <w:szCs w:val="24"/>
          <w:lang w:eastAsia="cs-CZ"/>
        </w:rPr>
        <w:t>Příloha č. 1</w:t>
      </w:r>
    </w:p>
    <w:p w14:paraId="7B349CF1" w14:textId="4A0F58AC" w:rsidR="00B927FE" w:rsidRPr="00B927FE" w:rsidRDefault="00B927FE" w:rsidP="00C62D35">
      <w:pPr>
        <w:spacing w:after="40"/>
        <w:rPr>
          <w:rFonts w:cstheme="minorHAnsi"/>
          <w:b/>
          <w:sz w:val="24"/>
          <w:szCs w:val="24"/>
          <w:lang w:eastAsia="cs-CZ"/>
        </w:rPr>
      </w:pPr>
      <w:r w:rsidRPr="00B927FE">
        <w:rPr>
          <w:rFonts w:cstheme="minorHAnsi"/>
          <w:b/>
          <w:sz w:val="24"/>
          <w:szCs w:val="24"/>
          <w:lang w:eastAsia="cs-CZ"/>
        </w:rPr>
        <w:t>Průměrná vytíženost zaměstnanců v oblasti DPPO v letech 2018 až 2023</w:t>
      </w:r>
    </w:p>
    <w:tbl>
      <w:tblPr>
        <w:tblW w:w="13961" w:type="dxa"/>
        <w:tblLayout w:type="fixed"/>
        <w:tblCellMar>
          <w:left w:w="70" w:type="dxa"/>
          <w:right w:w="70" w:type="dxa"/>
        </w:tblCellMar>
        <w:tblLook w:val="04A0" w:firstRow="1" w:lastRow="0" w:firstColumn="1" w:lastColumn="0" w:noHBand="0" w:noVBand="1"/>
      </w:tblPr>
      <w:tblGrid>
        <w:gridCol w:w="1094"/>
        <w:gridCol w:w="804"/>
        <w:gridCol w:w="804"/>
        <w:gridCol w:w="804"/>
        <w:gridCol w:w="804"/>
        <w:gridCol w:w="804"/>
        <w:gridCol w:w="805"/>
        <w:gridCol w:w="804"/>
        <w:gridCol w:w="804"/>
        <w:gridCol w:w="804"/>
        <w:gridCol w:w="804"/>
        <w:gridCol w:w="805"/>
        <w:gridCol w:w="804"/>
        <w:gridCol w:w="804"/>
        <w:gridCol w:w="804"/>
        <w:gridCol w:w="804"/>
        <w:gridCol w:w="805"/>
      </w:tblGrid>
      <w:tr w:rsidR="00B927FE" w:rsidRPr="00B927FE" w14:paraId="0A57DD1D" w14:textId="77777777" w:rsidTr="00C62D35">
        <w:trPr>
          <w:trHeight w:val="2299"/>
        </w:trPr>
        <w:tc>
          <w:tcPr>
            <w:tcW w:w="10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A20D0D3" w14:textId="22E726A4"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Proces</w:t>
            </w:r>
          </w:p>
        </w:tc>
        <w:tc>
          <w:tcPr>
            <w:tcW w:w="804" w:type="dxa"/>
            <w:tcBorders>
              <w:top w:val="single" w:sz="12" w:space="0" w:color="auto"/>
              <w:left w:val="nil"/>
              <w:bottom w:val="single" w:sz="12" w:space="0" w:color="auto"/>
              <w:right w:val="single" w:sz="4" w:space="0" w:color="auto"/>
            </w:tcBorders>
            <w:shd w:val="clear" w:color="auto" w:fill="auto"/>
            <w:vAlign w:val="center"/>
            <w:hideMark/>
          </w:tcPr>
          <w:p w14:paraId="27F7F05E" w14:textId="77777777" w:rsidR="00B927FE" w:rsidRPr="00B927FE" w:rsidRDefault="00B927FE" w:rsidP="00B927FE">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Rok</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6DCD0516"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hl. m. Prahu</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6D490D02"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Středočeský kraj</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2684F4D9"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Jihočeský kraj</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55B1EAB1"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Plzeňský kraj</w:t>
            </w:r>
          </w:p>
        </w:tc>
        <w:tc>
          <w:tcPr>
            <w:tcW w:w="805"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25857B8B"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Karlovarský kraj</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0CE144E9"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Ústecký kraj</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391D6813"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Liberecký kraj</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382E7B0B"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Královéhradecký kraj</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6A331C2D"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Pardubický kraj</w:t>
            </w:r>
          </w:p>
        </w:tc>
        <w:tc>
          <w:tcPr>
            <w:tcW w:w="805"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45CCD99E"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Kraj Vysočina</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5EC5521F"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Jihomoravský kraj</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52EC534A"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Olomoucký kraj</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4F442A87"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Moravskoslezský kraj</w:t>
            </w:r>
          </w:p>
        </w:tc>
        <w:tc>
          <w:tcPr>
            <w:tcW w:w="80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0520656C" w14:textId="77777777" w:rsidR="00B927FE" w:rsidRPr="00B927FE" w:rsidRDefault="00B927FE" w:rsidP="00C62D35">
            <w:pPr>
              <w:spacing w:after="0" w:line="240" w:lineRule="auto"/>
              <w:jc w:val="center"/>
              <w:rPr>
                <w:rFonts w:eastAsia="Times New Roman" w:cstheme="minorHAnsi"/>
                <w:b/>
                <w:bCs/>
                <w:sz w:val="18"/>
                <w:szCs w:val="18"/>
                <w:lang w:eastAsia="cs-CZ"/>
              </w:rPr>
            </w:pPr>
            <w:r w:rsidRPr="00B927FE">
              <w:rPr>
                <w:rFonts w:eastAsia="Times New Roman" w:cstheme="minorHAnsi"/>
                <w:b/>
                <w:bCs/>
                <w:sz w:val="18"/>
                <w:szCs w:val="18"/>
                <w:lang w:eastAsia="cs-CZ"/>
              </w:rPr>
              <w:t>FÚ pro Zlínský kraj</w:t>
            </w:r>
          </w:p>
        </w:tc>
        <w:tc>
          <w:tcPr>
            <w:tcW w:w="805" w:type="dxa"/>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46DF94AF" w14:textId="77777777" w:rsidR="00B927FE" w:rsidRPr="00B927FE" w:rsidRDefault="00B927FE" w:rsidP="00C62D35">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Průměr za FS ČR</w:t>
            </w:r>
          </w:p>
        </w:tc>
      </w:tr>
      <w:tr w:rsidR="00B927FE" w:rsidRPr="00B927FE" w14:paraId="2DF2259E" w14:textId="77777777" w:rsidTr="004A7BE6">
        <w:trPr>
          <w:trHeight w:val="170"/>
        </w:trPr>
        <w:tc>
          <w:tcPr>
            <w:tcW w:w="1094" w:type="dxa"/>
            <w:vMerge w:val="restart"/>
            <w:tcBorders>
              <w:top w:val="single" w:sz="12" w:space="0" w:color="auto"/>
              <w:left w:val="single" w:sz="12" w:space="0" w:color="auto"/>
              <w:bottom w:val="single" w:sz="8" w:space="0" w:color="000000"/>
              <w:right w:val="single" w:sz="4" w:space="0" w:color="auto"/>
            </w:tcBorders>
            <w:shd w:val="clear" w:color="000000" w:fill="9DD3C7"/>
            <w:textDirection w:val="btLr"/>
            <w:vAlign w:val="center"/>
            <w:hideMark/>
          </w:tcPr>
          <w:p w14:paraId="67CA4559" w14:textId="00D5DF8D" w:rsidR="00B927FE" w:rsidRPr="00B927FE" w:rsidRDefault="00B927FE" w:rsidP="00C62D35">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Stanovování</w:t>
            </w:r>
            <w:r w:rsidR="00C62D35">
              <w:rPr>
                <w:rFonts w:eastAsia="Times New Roman" w:cstheme="minorHAnsi"/>
                <w:b/>
                <w:bCs/>
                <w:color w:val="000000"/>
                <w:sz w:val="18"/>
                <w:szCs w:val="18"/>
                <w:lang w:eastAsia="cs-CZ"/>
              </w:rPr>
              <w:t xml:space="preserve"> </w:t>
            </w:r>
            <w:r w:rsidR="00C62D35">
              <w:rPr>
                <w:rFonts w:eastAsia="Times New Roman" w:cstheme="minorHAnsi"/>
                <w:b/>
                <w:bCs/>
                <w:color w:val="000000"/>
                <w:sz w:val="18"/>
                <w:szCs w:val="18"/>
                <w:lang w:eastAsia="cs-CZ"/>
              </w:rPr>
              <w:br/>
            </w:r>
            <w:r w:rsidRPr="00B927FE">
              <w:rPr>
                <w:rFonts w:eastAsia="Times New Roman" w:cstheme="minorHAnsi"/>
                <w:b/>
                <w:bCs/>
                <w:color w:val="000000"/>
                <w:sz w:val="18"/>
                <w:szCs w:val="18"/>
                <w:lang w:eastAsia="cs-CZ"/>
              </w:rPr>
              <w:t>DPPO</w:t>
            </w:r>
          </w:p>
        </w:tc>
        <w:tc>
          <w:tcPr>
            <w:tcW w:w="804" w:type="dxa"/>
            <w:tcBorders>
              <w:top w:val="single" w:sz="12" w:space="0" w:color="auto"/>
              <w:left w:val="nil"/>
              <w:bottom w:val="single" w:sz="4" w:space="0" w:color="auto"/>
              <w:right w:val="single" w:sz="4" w:space="0" w:color="auto"/>
            </w:tcBorders>
            <w:shd w:val="clear" w:color="000000" w:fill="9DD3C7"/>
            <w:noWrap/>
            <w:vAlign w:val="center"/>
            <w:hideMark/>
          </w:tcPr>
          <w:p w14:paraId="55D360CA"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2018</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2935101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1 480</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73B6C24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914</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4548170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865</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79A83D7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998</w:t>
            </w:r>
          </w:p>
        </w:tc>
        <w:tc>
          <w:tcPr>
            <w:tcW w:w="805" w:type="dxa"/>
            <w:tcBorders>
              <w:top w:val="single" w:sz="12" w:space="0" w:color="auto"/>
              <w:left w:val="nil"/>
              <w:bottom w:val="single" w:sz="4" w:space="0" w:color="auto"/>
              <w:right w:val="single" w:sz="4" w:space="0" w:color="auto"/>
            </w:tcBorders>
            <w:shd w:val="clear" w:color="auto" w:fill="auto"/>
            <w:noWrap/>
            <w:vAlign w:val="center"/>
            <w:hideMark/>
          </w:tcPr>
          <w:p w14:paraId="464BA50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1 072</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5F05BAA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751</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79D687B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906</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3621324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811</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32937E1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1 366</w:t>
            </w:r>
          </w:p>
        </w:tc>
        <w:tc>
          <w:tcPr>
            <w:tcW w:w="805" w:type="dxa"/>
            <w:tcBorders>
              <w:top w:val="single" w:sz="12" w:space="0" w:color="auto"/>
              <w:left w:val="nil"/>
              <w:bottom w:val="single" w:sz="4" w:space="0" w:color="auto"/>
              <w:right w:val="single" w:sz="4" w:space="0" w:color="auto"/>
            </w:tcBorders>
            <w:shd w:val="clear" w:color="auto" w:fill="auto"/>
            <w:noWrap/>
            <w:vAlign w:val="center"/>
            <w:hideMark/>
          </w:tcPr>
          <w:p w14:paraId="5F58916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811</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63CE982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909</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07AFB61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884</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7AE91A0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803</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5B981C3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722</w:t>
            </w:r>
          </w:p>
        </w:tc>
        <w:tc>
          <w:tcPr>
            <w:tcW w:w="805" w:type="dxa"/>
            <w:tcBorders>
              <w:top w:val="single" w:sz="12" w:space="0" w:color="auto"/>
              <w:left w:val="nil"/>
              <w:bottom w:val="single" w:sz="4" w:space="0" w:color="auto"/>
              <w:right w:val="single" w:sz="12" w:space="0" w:color="auto"/>
            </w:tcBorders>
            <w:shd w:val="clear" w:color="auto" w:fill="auto"/>
            <w:noWrap/>
            <w:vAlign w:val="center"/>
            <w:hideMark/>
          </w:tcPr>
          <w:p w14:paraId="757F411E"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949</w:t>
            </w:r>
          </w:p>
        </w:tc>
      </w:tr>
      <w:tr w:rsidR="00B927FE" w:rsidRPr="00B927FE" w14:paraId="11CB2C23" w14:textId="77777777" w:rsidTr="004A7BE6">
        <w:trPr>
          <w:trHeight w:val="54"/>
        </w:trPr>
        <w:tc>
          <w:tcPr>
            <w:tcW w:w="1094" w:type="dxa"/>
            <w:vMerge/>
            <w:tcBorders>
              <w:top w:val="single" w:sz="8" w:space="0" w:color="auto"/>
              <w:left w:val="single" w:sz="12" w:space="0" w:color="auto"/>
              <w:bottom w:val="single" w:sz="8" w:space="0" w:color="000000"/>
              <w:right w:val="single" w:sz="4" w:space="0" w:color="auto"/>
            </w:tcBorders>
            <w:vAlign w:val="center"/>
            <w:hideMark/>
          </w:tcPr>
          <w:p w14:paraId="3D99F2D8"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9DD3C7"/>
            <w:noWrap/>
            <w:vAlign w:val="center"/>
            <w:hideMark/>
          </w:tcPr>
          <w:p w14:paraId="56061724"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2019</w:t>
            </w:r>
          </w:p>
        </w:tc>
        <w:tc>
          <w:tcPr>
            <w:tcW w:w="804" w:type="dxa"/>
            <w:tcBorders>
              <w:top w:val="nil"/>
              <w:left w:val="nil"/>
              <w:bottom w:val="single" w:sz="4" w:space="0" w:color="auto"/>
              <w:right w:val="single" w:sz="4" w:space="0" w:color="auto"/>
            </w:tcBorders>
            <w:shd w:val="clear" w:color="auto" w:fill="auto"/>
            <w:noWrap/>
            <w:vAlign w:val="center"/>
            <w:hideMark/>
          </w:tcPr>
          <w:p w14:paraId="42B2B5A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1 490</w:t>
            </w:r>
          </w:p>
        </w:tc>
        <w:tc>
          <w:tcPr>
            <w:tcW w:w="804" w:type="dxa"/>
            <w:tcBorders>
              <w:top w:val="nil"/>
              <w:left w:val="nil"/>
              <w:bottom w:val="single" w:sz="4" w:space="0" w:color="auto"/>
              <w:right w:val="single" w:sz="4" w:space="0" w:color="auto"/>
            </w:tcBorders>
            <w:shd w:val="clear" w:color="auto" w:fill="auto"/>
            <w:noWrap/>
            <w:vAlign w:val="center"/>
            <w:hideMark/>
          </w:tcPr>
          <w:p w14:paraId="5CEF2E3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1 047</w:t>
            </w:r>
          </w:p>
        </w:tc>
        <w:tc>
          <w:tcPr>
            <w:tcW w:w="804" w:type="dxa"/>
            <w:tcBorders>
              <w:top w:val="nil"/>
              <w:left w:val="nil"/>
              <w:bottom w:val="single" w:sz="4" w:space="0" w:color="auto"/>
              <w:right w:val="single" w:sz="4" w:space="0" w:color="auto"/>
            </w:tcBorders>
            <w:shd w:val="clear" w:color="auto" w:fill="auto"/>
            <w:noWrap/>
            <w:vAlign w:val="center"/>
            <w:hideMark/>
          </w:tcPr>
          <w:p w14:paraId="5ECBF0E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917</w:t>
            </w:r>
          </w:p>
        </w:tc>
        <w:tc>
          <w:tcPr>
            <w:tcW w:w="804" w:type="dxa"/>
            <w:tcBorders>
              <w:top w:val="nil"/>
              <w:left w:val="nil"/>
              <w:bottom w:val="single" w:sz="4" w:space="0" w:color="auto"/>
              <w:right w:val="single" w:sz="4" w:space="0" w:color="auto"/>
            </w:tcBorders>
            <w:shd w:val="clear" w:color="auto" w:fill="auto"/>
            <w:noWrap/>
            <w:vAlign w:val="center"/>
            <w:hideMark/>
          </w:tcPr>
          <w:p w14:paraId="50E6C03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1 140</w:t>
            </w:r>
          </w:p>
        </w:tc>
        <w:tc>
          <w:tcPr>
            <w:tcW w:w="805" w:type="dxa"/>
            <w:tcBorders>
              <w:top w:val="nil"/>
              <w:left w:val="nil"/>
              <w:bottom w:val="single" w:sz="4" w:space="0" w:color="auto"/>
              <w:right w:val="single" w:sz="4" w:space="0" w:color="auto"/>
            </w:tcBorders>
            <w:shd w:val="clear" w:color="auto" w:fill="auto"/>
            <w:noWrap/>
            <w:vAlign w:val="center"/>
            <w:hideMark/>
          </w:tcPr>
          <w:p w14:paraId="3F68CB1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1 199</w:t>
            </w:r>
          </w:p>
        </w:tc>
        <w:tc>
          <w:tcPr>
            <w:tcW w:w="804" w:type="dxa"/>
            <w:tcBorders>
              <w:top w:val="nil"/>
              <w:left w:val="nil"/>
              <w:bottom w:val="single" w:sz="4" w:space="0" w:color="auto"/>
              <w:right w:val="single" w:sz="4" w:space="0" w:color="auto"/>
            </w:tcBorders>
            <w:shd w:val="clear" w:color="auto" w:fill="auto"/>
            <w:noWrap/>
            <w:vAlign w:val="center"/>
            <w:hideMark/>
          </w:tcPr>
          <w:p w14:paraId="3243BAF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802</w:t>
            </w:r>
          </w:p>
        </w:tc>
        <w:tc>
          <w:tcPr>
            <w:tcW w:w="804" w:type="dxa"/>
            <w:tcBorders>
              <w:top w:val="nil"/>
              <w:left w:val="nil"/>
              <w:bottom w:val="single" w:sz="4" w:space="0" w:color="auto"/>
              <w:right w:val="single" w:sz="4" w:space="0" w:color="auto"/>
            </w:tcBorders>
            <w:shd w:val="clear" w:color="auto" w:fill="auto"/>
            <w:noWrap/>
            <w:vAlign w:val="center"/>
            <w:hideMark/>
          </w:tcPr>
          <w:p w14:paraId="6B67B95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966</w:t>
            </w:r>
          </w:p>
        </w:tc>
        <w:tc>
          <w:tcPr>
            <w:tcW w:w="804" w:type="dxa"/>
            <w:tcBorders>
              <w:top w:val="nil"/>
              <w:left w:val="nil"/>
              <w:bottom w:val="single" w:sz="4" w:space="0" w:color="auto"/>
              <w:right w:val="single" w:sz="4" w:space="0" w:color="auto"/>
            </w:tcBorders>
            <w:shd w:val="clear" w:color="auto" w:fill="auto"/>
            <w:noWrap/>
            <w:vAlign w:val="center"/>
            <w:hideMark/>
          </w:tcPr>
          <w:p w14:paraId="053E403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821</w:t>
            </w:r>
          </w:p>
        </w:tc>
        <w:tc>
          <w:tcPr>
            <w:tcW w:w="804" w:type="dxa"/>
            <w:tcBorders>
              <w:top w:val="nil"/>
              <w:left w:val="nil"/>
              <w:bottom w:val="single" w:sz="4" w:space="0" w:color="auto"/>
              <w:right w:val="single" w:sz="4" w:space="0" w:color="auto"/>
            </w:tcBorders>
            <w:shd w:val="clear" w:color="auto" w:fill="auto"/>
            <w:noWrap/>
            <w:vAlign w:val="center"/>
            <w:hideMark/>
          </w:tcPr>
          <w:p w14:paraId="4032FA9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1 433</w:t>
            </w:r>
          </w:p>
        </w:tc>
        <w:tc>
          <w:tcPr>
            <w:tcW w:w="805" w:type="dxa"/>
            <w:tcBorders>
              <w:top w:val="nil"/>
              <w:left w:val="nil"/>
              <w:bottom w:val="single" w:sz="4" w:space="0" w:color="auto"/>
              <w:right w:val="single" w:sz="4" w:space="0" w:color="auto"/>
            </w:tcBorders>
            <w:shd w:val="clear" w:color="auto" w:fill="auto"/>
            <w:noWrap/>
            <w:vAlign w:val="center"/>
            <w:hideMark/>
          </w:tcPr>
          <w:p w14:paraId="7EC34C1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825</w:t>
            </w:r>
          </w:p>
        </w:tc>
        <w:tc>
          <w:tcPr>
            <w:tcW w:w="804" w:type="dxa"/>
            <w:tcBorders>
              <w:top w:val="nil"/>
              <w:left w:val="nil"/>
              <w:bottom w:val="single" w:sz="4" w:space="0" w:color="auto"/>
              <w:right w:val="single" w:sz="4" w:space="0" w:color="auto"/>
            </w:tcBorders>
            <w:shd w:val="clear" w:color="auto" w:fill="auto"/>
            <w:noWrap/>
            <w:vAlign w:val="center"/>
            <w:hideMark/>
          </w:tcPr>
          <w:p w14:paraId="2549F54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974</w:t>
            </w:r>
          </w:p>
        </w:tc>
        <w:tc>
          <w:tcPr>
            <w:tcW w:w="804" w:type="dxa"/>
            <w:tcBorders>
              <w:top w:val="nil"/>
              <w:left w:val="nil"/>
              <w:bottom w:val="single" w:sz="4" w:space="0" w:color="auto"/>
              <w:right w:val="single" w:sz="4" w:space="0" w:color="auto"/>
            </w:tcBorders>
            <w:shd w:val="clear" w:color="auto" w:fill="auto"/>
            <w:noWrap/>
            <w:vAlign w:val="center"/>
            <w:hideMark/>
          </w:tcPr>
          <w:p w14:paraId="21537B3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902</w:t>
            </w:r>
          </w:p>
        </w:tc>
        <w:tc>
          <w:tcPr>
            <w:tcW w:w="804" w:type="dxa"/>
            <w:tcBorders>
              <w:top w:val="nil"/>
              <w:left w:val="nil"/>
              <w:bottom w:val="single" w:sz="4" w:space="0" w:color="auto"/>
              <w:right w:val="single" w:sz="4" w:space="0" w:color="auto"/>
            </w:tcBorders>
            <w:shd w:val="clear" w:color="auto" w:fill="auto"/>
            <w:noWrap/>
            <w:vAlign w:val="center"/>
            <w:hideMark/>
          </w:tcPr>
          <w:p w14:paraId="1AA9A47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756</w:t>
            </w:r>
          </w:p>
        </w:tc>
        <w:tc>
          <w:tcPr>
            <w:tcW w:w="804" w:type="dxa"/>
            <w:tcBorders>
              <w:top w:val="nil"/>
              <w:left w:val="nil"/>
              <w:bottom w:val="single" w:sz="4" w:space="0" w:color="auto"/>
              <w:right w:val="single" w:sz="4" w:space="0" w:color="auto"/>
            </w:tcBorders>
            <w:shd w:val="clear" w:color="auto" w:fill="auto"/>
            <w:noWrap/>
            <w:vAlign w:val="center"/>
            <w:hideMark/>
          </w:tcPr>
          <w:p w14:paraId="79178D1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723</w:t>
            </w:r>
          </w:p>
        </w:tc>
        <w:tc>
          <w:tcPr>
            <w:tcW w:w="805" w:type="dxa"/>
            <w:tcBorders>
              <w:top w:val="nil"/>
              <w:left w:val="nil"/>
              <w:bottom w:val="single" w:sz="4" w:space="0" w:color="auto"/>
              <w:right w:val="single" w:sz="12" w:space="0" w:color="auto"/>
            </w:tcBorders>
            <w:shd w:val="clear" w:color="auto" w:fill="auto"/>
            <w:noWrap/>
            <w:vAlign w:val="center"/>
            <w:hideMark/>
          </w:tcPr>
          <w:p w14:paraId="178CDB71"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1 000</w:t>
            </w:r>
          </w:p>
        </w:tc>
      </w:tr>
      <w:tr w:rsidR="00B927FE" w:rsidRPr="00B927FE" w14:paraId="4FE91A62" w14:textId="77777777" w:rsidTr="004A7BE6">
        <w:trPr>
          <w:trHeight w:val="54"/>
        </w:trPr>
        <w:tc>
          <w:tcPr>
            <w:tcW w:w="1094" w:type="dxa"/>
            <w:vMerge/>
            <w:tcBorders>
              <w:top w:val="single" w:sz="8" w:space="0" w:color="auto"/>
              <w:left w:val="single" w:sz="12" w:space="0" w:color="auto"/>
              <w:bottom w:val="single" w:sz="8" w:space="0" w:color="000000"/>
              <w:right w:val="single" w:sz="4" w:space="0" w:color="auto"/>
            </w:tcBorders>
            <w:vAlign w:val="center"/>
            <w:hideMark/>
          </w:tcPr>
          <w:p w14:paraId="3A68E307"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9DD3C7"/>
            <w:noWrap/>
            <w:vAlign w:val="center"/>
            <w:hideMark/>
          </w:tcPr>
          <w:p w14:paraId="64DA52BE"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2020</w:t>
            </w:r>
          </w:p>
        </w:tc>
        <w:tc>
          <w:tcPr>
            <w:tcW w:w="804" w:type="dxa"/>
            <w:tcBorders>
              <w:top w:val="nil"/>
              <w:left w:val="nil"/>
              <w:bottom w:val="single" w:sz="4" w:space="0" w:color="auto"/>
              <w:right w:val="single" w:sz="4" w:space="0" w:color="auto"/>
            </w:tcBorders>
            <w:shd w:val="clear" w:color="auto" w:fill="auto"/>
            <w:noWrap/>
            <w:vAlign w:val="center"/>
            <w:hideMark/>
          </w:tcPr>
          <w:p w14:paraId="26A51CA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1 419</w:t>
            </w:r>
          </w:p>
        </w:tc>
        <w:tc>
          <w:tcPr>
            <w:tcW w:w="804" w:type="dxa"/>
            <w:tcBorders>
              <w:top w:val="nil"/>
              <w:left w:val="nil"/>
              <w:bottom w:val="single" w:sz="4" w:space="0" w:color="auto"/>
              <w:right w:val="single" w:sz="4" w:space="0" w:color="auto"/>
            </w:tcBorders>
            <w:shd w:val="clear" w:color="auto" w:fill="auto"/>
            <w:noWrap/>
            <w:vAlign w:val="center"/>
            <w:hideMark/>
          </w:tcPr>
          <w:p w14:paraId="27487C5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1 076</w:t>
            </w:r>
          </w:p>
        </w:tc>
        <w:tc>
          <w:tcPr>
            <w:tcW w:w="804" w:type="dxa"/>
            <w:tcBorders>
              <w:top w:val="nil"/>
              <w:left w:val="nil"/>
              <w:bottom w:val="single" w:sz="4" w:space="0" w:color="auto"/>
              <w:right w:val="single" w:sz="4" w:space="0" w:color="auto"/>
            </w:tcBorders>
            <w:shd w:val="clear" w:color="auto" w:fill="auto"/>
            <w:noWrap/>
            <w:vAlign w:val="center"/>
            <w:hideMark/>
          </w:tcPr>
          <w:p w14:paraId="22D721B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811</w:t>
            </w:r>
          </w:p>
        </w:tc>
        <w:tc>
          <w:tcPr>
            <w:tcW w:w="804" w:type="dxa"/>
            <w:tcBorders>
              <w:top w:val="nil"/>
              <w:left w:val="nil"/>
              <w:bottom w:val="single" w:sz="4" w:space="0" w:color="auto"/>
              <w:right w:val="single" w:sz="4" w:space="0" w:color="auto"/>
            </w:tcBorders>
            <w:shd w:val="clear" w:color="auto" w:fill="auto"/>
            <w:noWrap/>
            <w:vAlign w:val="center"/>
            <w:hideMark/>
          </w:tcPr>
          <w:p w14:paraId="3235834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1 079</w:t>
            </w:r>
          </w:p>
        </w:tc>
        <w:tc>
          <w:tcPr>
            <w:tcW w:w="805" w:type="dxa"/>
            <w:tcBorders>
              <w:top w:val="nil"/>
              <w:left w:val="nil"/>
              <w:bottom w:val="single" w:sz="4" w:space="0" w:color="auto"/>
              <w:right w:val="single" w:sz="4" w:space="0" w:color="auto"/>
            </w:tcBorders>
            <w:shd w:val="clear" w:color="auto" w:fill="auto"/>
            <w:noWrap/>
            <w:vAlign w:val="center"/>
            <w:hideMark/>
          </w:tcPr>
          <w:p w14:paraId="49FB440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1 317</w:t>
            </w:r>
          </w:p>
        </w:tc>
        <w:tc>
          <w:tcPr>
            <w:tcW w:w="804" w:type="dxa"/>
            <w:tcBorders>
              <w:top w:val="nil"/>
              <w:left w:val="nil"/>
              <w:bottom w:val="single" w:sz="4" w:space="0" w:color="auto"/>
              <w:right w:val="single" w:sz="4" w:space="0" w:color="auto"/>
            </w:tcBorders>
            <w:shd w:val="clear" w:color="auto" w:fill="auto"/>
            <w:noWrap/>
            <w:vAlign w:val="center"/>
            <w:hideMark/>
          </w:tcPr>
          <w:p w14:paraId="476D30E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755</w:t>
            </w:r>
          </w:p>
        </w:tc>
        <w:tc>
          <w:tcPr>
            <w:tcW w:w="804" w:type="dxa"/>
            <w:tcBorders>
              <w:top w:val="nil"/>
              <w:left w:val="nil"/>
              <w:bottom w:val="single" w:sz="4" w:space="0" w:color="auto"/>
              <w:right w:val="single" w:sz="4" w:space="0" w:color="auto"/>
            </w:tcBorders>
            <w:shd w:val="clear" w:color="auto" w:fill="auto"/>
            <w:noWrap/>
            <w:vAlign w:val="center"/>
            <w:hideMark/>
          </w:tcPr>
          <w:p w14:paraId="42F9295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941</w:t>
            </w:r>
          </w:p>
        </w:tc>
        <w:tc>
          <w:tcPr>
            <w:tcW w:w="804" w:type="dxa"/>
            <w:tcBorders>
              <w:top w:val="nil"/>
              <w:left w:val="nil"/>
              <w:bottom w:val="single" w:sz="4" w:space="0" w:color="auto"/>
              <w:right w:val="single" w:sz="4" w:space="0" w:color="auto"/>
            </w:tcBorders>
            <w:shd w:val="clear" w:color="auto" w:fill="auto"/>
            <w:noWrap/>
            <w:vAlign w:val="center"/>
            <w:hideMark/>
          </w:tcPr>
          <w:p w14:paraId="6BB4B7C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925</w:t>
            </w:r>
          </w:p>
        </w:tc>
        <w:tc>
          <w:tcPr>
            <w:tcW w:w="804" w:type="dxa"/>
            <w:tcBorders>
              <w:top w:val="nil"/>
              <w:left w:val="nil"/>
              <w:bottom w:val="single" w:sz="4" w:space="0" w:color="auto"/>
              <w:right w:val="single" w:sz="4" w:space="0" w:color="auto"/>
            </w:tcBorders>
            <w:shd w:val="clear" w:color="auto" w:fill="auto"/>
            <w:noWrap/>
            <w:vAlign w:val="center"/>
            <w:hideMark/>
          </w:tcPr>
          <w:p w14:paraId="0EFAB20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1 410</w:t>
            </w:r>
          </w:p>
        </w:tc>
        <w:tc>
          <w:tcPr>
            <w:tcW w:w="805" w:type="dxa"/>
            <w:tcBorders>
              <w:top w:val="nil"/>
              <w:left w:val="nil"/>
              <w:bottom w:val="single" w:sz="4" w:space="0" w:color="auto"/>
              <w:right w:val="single" w:sz="4" w:space="0" w:color="auto"/>
            </w:tcBorders>
            <w:shd w:val="clear" w:color="auto" w:fill="auto"/>
            <w:noWrap/>
            <w:vAlign w:val="center"/>
            <w:hideMark/>
          </w:tcPr>
          <w:p w14:paraId="428C3F2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859</w:t>
            </w:r>
          </w:p>
        </w:tc>
        <w:tc>
          <w:tcPr>
            <w:tcW w:w="804" w:type="dxa"/>
            <w:tcBorders>
              <w:top w:val="nil"/>
              <w:left w:val="nil"/>
              <w:bottom w:val="single" w:sz="4" w:space="0" w:color="auto"/>
              <w:right w:val="single" w:sz="4" w:space="0" w:color="auto"/>
            </w:tcBorders>
            <w:shd w:val="clear" w:color="auto" w:fill="auto"/>
            <w:noWrap/>
            <w:vAlign w:val="center"/>
            <w:hideMark/>
          </w:tcPr>
          <w:p w14:paraId="195FDD7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970</w:t>
            </w:r>
          </w:p>
        </w:tc>
        <w:tc>
          <w:tcPr>
            <w:tcW w:w="804" w:type="dxa"/>
            <w:tcBorders>
              <w:top w:val="nil"/>
              <w:left w:val="nil"/>
              <w:bottom w:val="single" w:sz="4" w:space="0" w:color="auto"/>
              <w:right w:val="single" w:sz="4" w:space="0" w:color="auto"/>
            </w:tcBorders>
            <w:shd w:val="clear" w:color="auto" w:fill="auto"/>
            <w:noWrap/>
            <w:vAlign w:val="center"/>
            <w:hideMark/>
          </w:tcPr>
          <w:p w14:paraId="0DBFE25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891</w:t>
            </w:r>
          </w:p>
        </w:tc>
        <w:tc>
          <w:tcPr>
            <w:tcW w:w="804" w:type="dxa"/>
            <w:tcBorders>
              <w:top w:val="nil"/>
              <w:left w:val="nil"/>
              <w:bottom w:val="single" w:sz="4" w:space="0" w:color="auto"/>
              <w:right w:val="single" w:sz="4" w:space="0" w:color="auto"/>
            </w:tcBorders>
            <w:shd w:val="clear" w:color="auto" w:fill="auto"/>
            <w:noWrap/>
            <w:vAlign w:val="center"/>
            <w:hideMark/>
          </w:tcPr>
          <w:p w14:paraId="155B01B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752</w:t>
            </w:r>
          </w:p>
        </w:tc>
        <w:tc>
          <w:tcPr>
            <w:tcW w:w="804" w:type="dxa"/>
            <w:tcBorders>
              <w:top w:val="nil"/>
              <w:left w:val="nil"/>
              <w:bottom w:val="single" w:sz="4" w:space="0" w:color="auto"/>
              <w:right w:val="single" w:sz="4" w:space="0" w:color="auto"/>
            </w:tcBorders>
            <w:shd w:val="clear" w:color="auto" w:fill="auto"/>
            <w:noWrap/>
            <w:vAlign w:val="center"/>
            <w:hideMark/>
          </w:tcPr>
          <w:p w14:paraId="5F5DA8B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727</w:t>
            </w:r>
          </w:p>
        </w:tc>
        <w:tc>
          <w:tcPr>
            <w:tcW w:w="805" w:type="dxa"/>
            <w:tcBorders>
              <w:top w:val="nil"/>
              <w:left w:val="nil"/>
              <w:bottom w:val="single" w:sz="4" w:space="0" w:color="auto"/>
              <w:right w:val="single" w:sz="12" w:space="0" w:color="auto"/>
            </w:tcBorders>
            <w:shd w:val="clear" w:color="auto" w:fill="auto"/>
            <w:noWrap/>
            <w:vAlign w:val="center"/>
            <w:hideMark/>
          </w:tcPr>
          <w:p w14:paraId="271E4927"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995</w:t>
            </w:r>
          </w:p>
        </w:tc>
      </w:tr>
      <w:tr w:rsidR="00B927FE" w:rsidRPr="00B927FE" w14:paraId="04BA5A32" w14:textId="77777777" w:rsidTr="004A7BE6">
        <w:trPr>
          <w:trHeight w:val="54"/>
        </w:trPr>
        <w:tc>
          <w:tcPr>
            <w:tcW w:w="1094" w:type="dxa"/>
            <w:vMerge/>
            <w:tcBorders>
              <w:top w:val="single" w:sz="8" w:space="0" w:color="auto"/>
              <w:left w:val="single" w:sz="12" w:space="0" w:color="auto"/>
              <w:bottom w:val="single" w:sz="8" w:space="0" w:color="000000"/>
              <w:right w:val="single" w:sz="4" w:space="0" w:color="auto"/>
            </w:tcBorders>
            <w:vAlign w:val="center"/>
            <w:hideMark/>
          </w:tcPr>
          <w:p w14:paraId="3CA60ACD"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9DD3C7"/>
            <w:noWrap/>
            <w:vAlign w:val="center"/>
            <w:hideMark/>
          </w:tcPr>
          <w:p w14:paraId="48F93536"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2021</w:t>
            </w:r>
          </w:p>
        </w:tc>
        <w:tc>
          <w:tcPr>
            <w:tcW w:w="804" w:type="dxa"/>
            <w:tcBorders>
              <w:top w:val="nil"/>
              <w:left w:val="nil"/>
              <w:bottom w:val="single" w:sz="4" w:space="0" w:color="auto"/>
              <w:right w:val="single" w:sz="4" w:space="0" w:color="auto"/>
            </w:tcBorders>
            <w:shd w:val="clear" w:color="auto" w:fill="auto"/>
            <w:noWrap/>
            <w:vAlign w:val="center"/>
            <w:hideMark/>
          </w:tcPr>
          <w:p w14:paraId="1B7B312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1 559</w:t>
            </w:r>
          </w:p>
        </w:tc>
        <w:tc>
          <w:tcPr>
            <w:tcW w:w="804" w:type="dxa"/>
            <w:tcBorders>
              <w:top w:val="nil"/>
              <w:left w:val="nil"/>
              <w:bottom w:val="single" w:sz="4" w:space="0" w:color="auto"/>
              <w:right w:val="single" w:sz="4" w:space="0" w:color="auto"/>
            </w:tcBorders>
            <w:shd w:val="clear" w:color="auto" w:fill="auto"/>
            <w:noWrap/>
            <w:vAlign w:val="center"/>
            <w:hideMark/>
          </w:tcPr>
          <w:p w14:paraId="601AA65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1 110</w:t>
            </w:r>
          </w:p>
        </w:tc>
        <w:tc>
          <w:tcPr>
            <w:tcW w:w="804" w:type="dxa"/>
            <w:tcBorders>
              <w:top w:val="nil"/>
              <w:left w:val="nil"/>
              <w:bottom w:val="single" w:sz="4" w:space="0" w:color="auto"/>
              <w:right w:val="single" w:sz="4" w:space="0" w:color="auto"/>
            </w:tcBorders>
            <w:shd w:val="clear" w:color="auto" w:fill="auto"/>
            <w:noWrap/>
            <w:vAlign w:val="center"/>
            <w:hideMark/>
          </w:tcPr>
          <w:p w14:paraId="796D839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825</w:t>
            </w:r>
          </w:p>
        </w:tc>
        <w:tc>
          <w:tcPr>
            <w:tcW w:w="804" w:type="dxa"/>
            <w:tcBorders>
              <w:top w:val="nil"/>
              <w:left w:val="nil"/>
              <w:bottom w:val="single" w:sz="4" w:space="0" w:color="auto"/>
              <w:right w:val="single" w:sz="4" w:space="0" w:color="auto"/>
            </w:tcBorders>
            <w:shd w:val="clear" w:color="auto" w:fill="auto"/>
            <w:noWrap/>
            <w:vAlign w:val="center"/>
            <w:hideMark/>
          </w:tcPr>
          <w:p w14:paraId="795E4C6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1 047</w:t>
            </w:r>
          </w:p>
        </w:tc>
        <w:tc>
          <w:tcPr>
            <w:tcW w:w="805" w:type="dxa"/>
            <w:tcBorders>
              <w:top w:val="nil"/>
              <w:left w:val="nil"/>
              <w:bottom w:val="single" w:sz="4" w:space="0" w:color="auto"/>
              <w:right w:val="single" w:sz="4" w:space="0" w:color="auto"/>
            </w:tcBorders>
            <w:shd w:val="clear" w:color="auto" w:fill="auto"/>
            <w:noWrap/>
            <w:vAlign w:val="center"/>
            <w:hideMark/>
          </w:tcPr>
          <w:p w14:paraId="31A7460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1 092</w:t>
            </w:r>
          </w:p>
        </w:tc>
        <w:tc>
          <w:tcPr>
            <w:tcW w:w="804" w:type="dxa"/>
            <w:tcBorders>
              <w:top w:val="nil"/>
              <w:left w:val="nil"/>
              <w:bottom w:val="single" w:sz="4" w:space="0" w:color="auto"/>
              <w:right w:val="single" w:sz="4" w:space="0" w:color="auto"/>
            </w:tcBorders>
            <w:shd w:val="clear" w:color="auto" w:fill="auto"/>
            <w:noWrap/>
            <w:vAlign w:val="center"/>
            <w:hideMark/>
          </w:tcPr>
          <w:p w14:paraId="793605D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795</w:t>
            </w:r>
          </w:p>
        </w:tc>
        <w:tc>
          <w:tcPr>
            <w:tcW w:w="804" w:type="dxa"/>
            <w:tcBorders>
              <w:top w:val="nil"/>
              <w:left w:val="nil"/>
              <w:bottom w:val="single" w:sz="4" w:space="0" w:color="auto"/>
              <w:right w:val="single" w:sz="4" w:space="0" w:color="auto"/>
            </w:tcBorders>
            <w:shd w:val="clear" w:color="auto" w:fill="auto"/>
            <w:noWrap/>
            <w:vAlign w:val="center"/>
            <w:hideMark/>
          </w:tcPr>
          <w:p w14:paraId="288B8CC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971</w:t>
            </w:r>
          </w:p>
        </w:tc>
        <w:tc>
          <w:tcPr>
            <w:tcW w:w="804" w:type="dxa"/>
            <w:tcBorders>
              <w:top w:val="nil"/>
              <w:left w:val="nil"/>
              <w:bottom w:val="single" w:sz="4" w:space="0" w:color="auto"/>
              <w:right w:val="single" w:sz="4" w:space="0" w:color="auto"/>
            </w:tcBorders>
            <w:shd w:val="clear" w:color="auto" w:fill="auto"/>
            <w:noWrap/>
            <w:vAlign w:val="center"/>
            <w:hideMark/>
          </w:tcPr>
          <w:p w14:paraId="0CA5AA8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884</w:t>
            </w:r>
          </w:p>
        </w:tc>
        <w:tc>
          <w:tcPr>
            <w:tcW w:w="804" w:type="dxa"/>
            <w:tcBorders>
              <w:top w:val="nil"/>
              <w:left w:val="nil"/>
              <w:bottom w:val="single" w:sz="4" w:space="0" w:color="auto"/>
              <w:right w:val="single" w:sz="4" w:space="0" w:color="auto"/>
            </w:tcBorders>
            <w:shd w:val="clear" w:color="auto" w:fill="auto"/>
            <w:noWrap/>
            <w:vAlign w:val="center"/>
            <w:hideMark/>
          </w:tcPr>
          <w:p w14:paraId="4A8CDCC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1 411</w:t>
            </w:r>
          </w:p>
        </w:tc>
        <w:tc>
          <w:tcPr>
            <w:tcW w:w="805" w:type="dxa"/>
            <w:tcBorders>
              <w:top w:val="nil"/>
              <w:left w:val="nil"/>
              <w:bottom w:val="single" w:sz="4" w:space="0" w:color="auto"/>
              <w:right w:val="single" w:sz="4" w:space="0" w:color="auto"/>
            </w:tcBorders>
            <w:shd w:val="clear" w:color="auto" w:fill="auto"/>
            <w:noWrap/>
            <w:vAlign w:val="center"/>
            <w:hideMark/>
          </w:tcPr>
          <w:p w14:paraId="18FDC9C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954</w:t>
            </w:r>
          </w:p>
        </w:tc>
        <w:tc>
          <w:tcPr>
            <w:tcW w:w="804" w:type="dxa"/>
            <w:tcBorders>
              <w:top w:val="nil"/>
              <w:left w:val="nil"/>
              <w:bottom w:val="single" w:sz="4" w:space="0" w:color="auto"/>
              <w:right w:val="single" w:sz="4" w:space="0" w:color="auto"/>
            </w:tcBorders>
            <w:shd w:val="clear" w:color="auto" w:fill="auto"/>
            <w:noWrap/>
            <w:vAlign w:val="center"/>
            <w:hideMark/>
          </w:tcPr>
          <w:p w14:paraId="5B32C62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1 051</w:t>
            </w:r>
          </w:p>
        </w:tc>
        <w:tc>
          <w:tcPr>
            <w:tcW w:w="804" w:type="dxa"/>
            <w:tcBorders>
              <w:top w:val="nil"/>
              <w:left w:val="nil"/>
              <w:bottom w:val="single" w:sz="4" w:space="0" w:color="auto"/>
              <w:right w:val="single" w:sz="4" w:space="0" w:color="auto"/>
            </w:tcBorders>
            <w:shd w:val="clear" w:color="auto" w:fill="auto"/>
            <w:noWrap/>
            <w:vAlign w:val="center"/>
            <w:hideMark/>
          </w:tcPr>
          <w:p w14:paraId="45E9F2A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975</w:t>
            </w:r>
          </w:p>
        </w:tc>
        <w:tc>
          <w:tcPr>
            <w:tcW w:w="804" w:type="dxa"/>
            <w:tcBorders>
              <w:top w:val="nil"/>
              <w:left w:val="nil"/>
              <w:bottom w:val="single" w:sz="4" w:space="0" w:color="auto"/>
              <w:right w:val="single" w:sz="4" w:space="0" w:color="auto"/>
            </w:tcBorders>
            <w:shd w:val="clear" w:color="auto" w:fill="auto"/>
            <w:noWrap/>
            <w:vAlign w:val="center"/>
            <w:hideMark/>
          </w:tcPr>
          <w:p w14:paraId="3B0FF5D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771</w:t>
            </w:r>
          </w:p>
        </w:tc>
        <w:tc>
          <w:tcPr>
            <w:tcW w:w="804" w:type="dxa"/>
            <w:tcBorders>
              <w:top w:val="nil"/>
              <w:left w:val="nil"/>
              <w:bottom w:val="single" w:sz="4" w:space="0" w:color="auto"/>
              <w:right w:val="single" w:sz="4" w:space="0" w:color="auto"/>
            </w:tcBorders>
            <w:shd w:val="clear" w:color="auto" w:fill="auto"/>
            <w:noWrap/>
            <w:vAlign w:val="center"/>
            <w:hideMark/>
          </w:tcPr>
          <w:p w14:paraId="6E574A3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735</w:t>
            </w:r>
          </w:p>
        </w:tc>
        <w:tc>
          <w:tcPr>
            <w:tcW w:w="805" w:type="dxa"/>
            <w:tcBorders>
              <w:top w:val="nil"/>
              <w:left w:val="nil"/>
              <w:bottom w:val="single" w:sz="4" w:space="0" w:color="auto"/>
              <w:right w:val="single" w:sz="12" w:space="0" w:color="auto"/>
            </w:tcBorders>
            <w:shd w:val="clear" w:color="auto" w:fill="auto"/>
            <w:noWrap/>
            <w:vAlign w:val="center"/>
            <w:hideMark/>
          </w:tcPr>
          <w:p w14:paraId="25C80025"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1 013</w:t>
            </w:r>
          </w:p>
        </w:tc>
      </w:tr>
      <w:tr w:rsidR="00B927FE" w:rsidRPr="00B927FE" w14:paraId="64277BC1" w14:textId="77777777" w:rsidTr="004A7BE6">
        <w:trPr>
          <w:trHeight w:val="54"/>
        </w:trPr>
        <w:tc>
          <w:tcPr>
            <w:tcW w:w="1094" w:type="dxa"/>
            <w:vMerge/>
            <w:tcBorders>
              <w:top w:val="single" w:sz="8" w:space="0" w:color="auto"/>
              <w:left w:val="single" w:sz="12" w:space="0" w:color="auto"/>
              <w:bottom w:val="single" w:sz="8" w:space="0" w:color="000000"/>
              <w:right w:val="single" w:sz="4" w:space="0" w:color="auto"/>
            </w:tcBorders>
            <w:vAlign w:val="center"/>
            <w:hideMark/>
          </w:tcPr>
          <w:p w14:paraId="7C22DFF7"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9DD3C7"/>
            <w:noWrap/>
            <w:vAlign w:val="center"/>
            <w:hideMark/>
          </w:tcPr>
          <w:p w14:paraId="60F70296"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2022</w:t>
            </w:r>
          </w:p>
        </w:tc>
        <w:tc>
          <w:tcPr>
            <w:tcW w:w="804" w:type="dxa"/>
            <w:tcBorders>
              <w:top w:val="nil"/>
              <w:left w:val="nil"/>
              <w:bottom w:val="single" w:sz="4" w:space="0" w:color="auto"/>
              <w:right w:val="single" w:sz="4" w:space="0" w:color="auto"/>
            </w:tcBorders>
            <w:shd w:val="clear" w:color="auto" w:fill="auto"/>
            <w:noWrap/>
            <w:vAlign w:val="center"/>
            <w:hideMark/>
          </w:tcPr>
          <w:p w14:paraId="7F2B181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1 572</w:t>
            </w:r>
          </w:p>
        </w:tc>
        <w:tc>
          <w:tcPr>
            <w:tcW w:w="804" w:type="dxa"/>
            <w:tcBorders>
              <w:top w:val="nil"/>
              <w:left w:val="nil"/>
              <w:bottom w:val="single" w:sz="4" w:space="0" w:color="auto"/>
              <w:right w:val="single" w:sz="4" w:space="0" w:color="auto"/>
            </w:tcBorders>
            <w:shd w:val="clear" w:color="auto" w:fill="auto"/>
            <w:noWrap/>
            <w:vAlign w:val="center"/>
            <w:hideMark/>
          </w:tcPr>
          <w:p w14:paraId="334753B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999</w:t>
            </w:r>
          </w:p>
        </w:tc>
        <w:tc>
          <w:tcPr>
            <w:tcW w:w="804" w:type="dxa"/>
            <w:tcBorders>
              <w:top w:val="nil"/>
              <w:left w:val="nil"/>
              <w:bottom w:val="single" w:sz="4" w:space="0" w:color="auto"/>
              <w:right w:val="single" w:sz="4" w:space="0" w:color="auto"/>
            </w:tcBorders>
            <w:shd w:val="clear" w:color="auto" w:fill="auto"/>
            <w:noWrap/>
            <w:vAlign w:val="center"/>
            <w:hideMark/>
          </w:tcPr>
          <w:p w14:paraId="5264546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853</w:t>
            </w:r>
          </w:p>
        </w:tc>
        <w:tc>
          <w:tcPr>
            <w:tcW w:w="804" w:type="dxa"/>
            <w:tcBorders>
              <w:top w:val="nil"/>
              <w:left w:val="nil"/>
              <w:bottom w:val="single" w:sz="4" w:space="0" w:color="auto"/>
              <w:right w:val="single" w:sz="4" w:space="0" w:color="auto"/>
            </w:tcBorders>
            <w:shd w:val="clear" w:color="auto" w:fill="auto"/>
            <w:noWrap/>
            <w:vAlign w:val="center"/>
            <w:hideMark/>
          </w:tcPr>
          <w:p w14:paraId="6E06A59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1 093</w:t>
            </w:r>
          </w:p>
        </w:tc>
        <w:tc>
          <w:tcPr>
            <w:tcW w:w="805" w:type="dxa"/>
            <w:tcBorders>
              <w:top w:val="nil"/>
              <w:left w:val="nil"/>
              <w:bottom w:val="single" w:sz="4" w:space="0" w:color="auto"/>
              <w:right w:val="single" w:sz="4" w:space="0" w:color="auto"/>
            </w:tcBorders>
            <w:shd w:val="clear" w:color="auto" w:fill="auto"/>
            <w:noWrap/>
            <w:vAlign w:val="center"/>
            <w:hideMark/>
          </w:tcPr>
          <w:p w14:paraId="100C931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1 103</w:t>
            </w:r>
          </w:p>
        </w:tc>
        <w:tc>
          <w:tcPr>
            <w:tcW w:w="804" w:type="dxa"/>
            <w:tcBorders>
              <w:top w:val="nil"/>
              <w:left w:val="nil"/>
              <w:bottom w:val="single" w:sz="4" w:space="0" w:color="auto"/>
              <w:right w:val="single" w:sz="4" w:space="0" w:color="auto"/>
            </w:tcBorders>
            <w:shd w:val="clear" w:color="auto" w:fill="auto"/>
            <w:noWrap/>
            <w:vAlign w:val="center"/>
            <w:hideMark/>
          </w:tcPr>
          <w:p w14:paraId="4D729F9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798</w:t>
            </w:r>
          </w:p>
        </w:tc>
        <w:tc>
          <w:tcPr>
            <w:tcW w:w="804" w:type="dxa"/>
            <w:tcBorders>
              <w:top w:val="nil"/>
              <w:left w:val="nil"/>
              <w:bottom w:val="single" w:sz="4" w:space="0" w:color="auto"/>
              <w:right w:val="single" w:sz="4" w:space="0" w:color="auto"/>
            </w:tcBorders>
            <w:shd w:val="clear" w:color="auto" w:fill="auto"/>
            <w:noWrap/>
            <w:vAlign w:val="center"/>
            <w:hideMark/>
          </w:tcPr>
          <w:p w14:paraId="4161F27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933</w:t>
            </w:r>
          </w:p>
        </w:tc>
        <w:tc>
          <w:tcPr>
            <w:tcW w:w="804" w:type="dxa"/>
            <w:tcBorders>
              <w:top w:val="nil"/>
              <w:left w:val="nil"/>
              <w:bottom w:val="single" w:sz="4" w:space="0" w:color="auto"/>
              <w:right w:val="single" w:sz="4" w:space="0" w:color="auto"/>
            </w:tcBorders>
            <w:shd w:val="clear" w:color="auto" w:fill="auto"/>
            <w:noWrap/>
            <w:vAlign w:val="center"/>
            <w:hideMark/>
          </w:tcPr>
          <w:p w14:paraId="65A0CF4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917</w:t>
            </w:r>
          </w:p>
        </w:tc>
        <w:tc>
          <w:tcPr>
            <w:tcW w:w="804" w:type="dxa"/>
            <w:tcBorders>
              <w:top w:val="nil"/>
              <w:left w:val="nil"/>
              <w:bottom w:val="single" w:sz="4" w:space="0" w:color="auto"/>
              <w:right w:val="single" w:sz="4" w:space="0" w:color="auto"/>
            </w:tcBorders>
            <w:shd w:val="clear" w:color="auto" w:fill="auto"/>
            <w:noWrap/>
            <w:vAlign w:val="center"/>
            <w:hideMark/>
          </w:tcPr>
          <w:p w14:paraId="653C81C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986</w:t>
            </w:r>
          </w:p>
        </w:tc>
        <w:tc>
          <w:tcPr>
            <w:tcW w:w="805" w:type="dxa"/>
            <w:tcBorders>
              <w:top w:val="nil"/>
              <w:left w:val="nil"/>
              <w:bottom w:val="single" w:sz="4" w:space="0" w:color="auto"/>
              <w:right w:val="single" w:sz="4" w:space="0" w:color="auto"/>
            </w:tcBorders>
            <w:shd w:val="clear" w:color="auto" w:fill="auto"/>
            <w:noWrap/>
            <w:vAlign w:val="center"/>
            <w:hideMark/>
          </w:tcPr>
          <w:p w14:paraId="5D4C795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1 023</w:t>
            </w:r>
          </w:p>
        </w:tc>
        <w:tc>
          <w:tcPr>
            <w:tcW w:w="804" w:type="dxa"/>
            <w:tcBorders>
              <w:top w:val="nil"/>
              <w:left w:val="nil"/>
              <w:bottom w:val="single" w:sz="4" w:space="0" w:color="auto"/>
              <w:right w:val="single" w:sz="4" w:space="0" w:color="auto"/>
            </w:tcBorders>
            <w:shd w:val="clear" w:color="auto" w:fill="auto"/>
            <w:noWrap/>
            <w:vAlign w:val="center"/>
            <w:hideMark/>
          </w:tcPr>
          <w:p w14:paraId="59D8506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1 088</w:t>
            </w:r>
          </w:p>
        </w:tc>
        <w:tc>
          <w:tcPr>
            <w:tcW w:w="804" w:type="dxa"/>
            <w:tcBorders>
              <w:top w:val="nil"/>
              <w:left w:val="nil"/>
              <w:bottom w:val="single" w:sz="4" w:space="0" w:color="auto"/>
              <w:right w:val="single" w:sz="4" w:space="0" w:color="auto"/>
            </w:tcBorders>
            <w:shd w:val="clear" w:color="auto" w:fill="auto"/>
            <w:noWrap/>
            <w:vAlign w:val="center"/>
            <w:hideMark/>
          </w:tcPr>
          <w:p w14:paraId="5A91700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996</w:t>
            </w:r>
          </w:p>
        </w:tc>
        <w:tc>
          <w:tcPr>
            <w:tcW w:w="804" w:type="dxa"/>
            <w:tcBorders>
              <w:top w:val="nil"/>
              <w:left w:val="nil"/>
              <w:bottom w:val="single" w:sz="4" w:space="0" w:color="auto"/>
              <w:right w:val="single" w:sz="4" w:space="0" w:color="auto"/>
            </w:tcBorders>
            <w:shd w:val="clear" w:color="auto" w:fill="auto"/>
            <w:noWrap/>
            <w:vAlign w:val="center"/>
            <w:hideMark/>
          </w:tcPr>
          <w:p w14:paraId="1883E35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800</w:t>
            </w:r>
          </w:p>
        </w:tc>
        <w:tc>
          <w:tcPr>
            <w:tcW w:w="804" w:type="dxa"/>
            <w:tcBorders>
              <w:top w:val="nil"/>
              <w:left w:val="nil"/>
              <w:bottom w:val="single" w:sz="4" w:space="0" w:color="auto"/>
              <w:right w:val="single" w:sz="4" w:space="0" w:color="auto"/>
            </w:tcBorders>
            <w:shd w:val="clear" w:color="auto" w:fill="auto"/>
            <w:noWrap/>
            <w:vAlign w:val="center"/>
            <w:hideMark/>
          </w:tcPr>
          <w:p w14:paraId="16B51A7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723</w:t>
            </w:r>
          </w:p>
        </w:tc>
        <w:tc>
          <w:tcPr>
            <w:tcW w:w="805" w:type="dxa"/>
            <w:tcBorders>
              <w:top w:val="nil"/>
              <w:left w:val="nil"/>
              <w:bottom w:val="single" w:sz="4" w:space="0" w:color="auto"/>
              <w:right w:val="single" w:sz="12" w:space="0" w:color="auto"/>
            </w:tcBorders>
            <w:shd w:val="clear" w:color="auto" w:fill="auto"/>
            <w:noWrap/>
            <w:vAlign w:val="center"/>
            <w:hideMark/>
          </w:tcPr>
          <w:p w14:paraId="3CC4C788"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992</w:t>
            </w:r>
          </w:p>
        </w:tc>
      </w:tr>
      <w:tr w:rsidR="00B927FE" w:rsidRPr="00B927FE" w14:paraId="3232DA8D" w14:textId="77777777" w:rsidTr="004A7BE6">
        <w:trPr>
          <w:trHeight w:val="54"/>
        </w:trPr>
        <w:tc>
          <w:tcPr>
            <w:tcW w:w="1094" w:type="dxa"/>
            <w:vMerge/>
            <w:tcBorders>
              <w:top w:val="single" w:sz="8" w:space="0" w:color="auto"/>
              <w:left w:val="single" w:sz="12" w:space="0" w:color="auto"/>
              <w:bottom w:val="single" w:sz="12" w:space="0" w:color="auto"/>
              <w:right w:val="single" w:sz="4" w:space="0" w:color="auto"/>
            </w:tcBorders>
            <w:vAlign w:val="center"/>
            <w:hideMark/>
          </w:tcPr>
          <w:p w14:paraId="59C382AA"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12" w:space="0" w:color="auto"/>
              <w:right w:val="single" w:sz="4" w:space="0" w:color="auto"/>
            </w:tcBorders>
            <w:shd w:val="clear" w:color="000000" w:fill="9DD3C7"/>
            <w:noWrap/>
            <w:vAlign w:val="center"/>
            <w:hideMark/>
          </w:tcPr>
          <w:p w14:paraId="3C788EA5"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2023</w:t>
            </w:r>
          </w:p>
        </w:tc>
        <w:tc>
          <w:tcPr>
            <w:tcW w:w="804" w:type="dxa"/>
            <w:tcBorders>
              <w:top w:val="nil"/>
              <w:left w:val="nil"/>
              <w:bottom w:val="single" w:sz="12" w:space="0" w:color="auto"/>
              <w:right w:val="single" w:sz="4" w:space="0" w:color="auto"/>
            </w:tcBorders>
            <w:shd w:val="clear" w:color="auto" w:fill="auto"/>
            <w:noWrap/>
            <w:vAlign w:val="center"/>
            <w:hideMark/>
          </w:tcPr>
          <w:p w14:paraId="7805367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2 609</w:t>
            </w:r>
          </w:p>
        </w:tc>
        <w:tc>
          <w:tcPr>
            <w:tcW w:w="804" w:type="dxa"/>
            <w:tcBorders>
              <w:top w:val="nil"/>
              <w:left w:val="nil"/>
              <w:bottom w:val="single" w:sz="12" w:space="0" w:color="auto"/>
              <w:right w:val="single" w:sz="4" w:space="0" w:color="auto"/>
            </w:tcBorders>
            <w:shd w:val="clear" w:color="auto" w:fill="auto"/>
            <w:noWrap/>
            <w:vAlign w:val="center"/>
            <w:hideMark/>
          </w:tcPr>
          <w:p w14:paraId="7B06797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977</w:t>
            </w:r>
          </w:p>
        </w:tc>
        <w:tc>
          <w:tcPr>
            <w:tcW w:w="804" w:type="dxa"/>
            <w:tcBorders>
              <w:top w:val="nil"/>
              <w:left w:val="nil"/>
              <w:bottom w:val="single" w:sz="12" w:space="0" w:color="auto"/>
              <w:right w:val="single" w:sz="4" w:space="0" w:color="auto"/>
            </w:tcBorders>
            <w:shd w:val="clear" w:color="auto" w:fill="auto"/>
            <w:noWrap/>
            <w:vAlign w:val="center"/>
            <w:hideMark/>
          </w:tcPr>
          <w:p w14:paraId="426EEA8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1 041</w:t>
            </w:r>
          </w:p>
        </w:tc>
        <w:tc>
          <w:tcPr>
            <w:tcW w:w="804" w:type="dxa"/>
            <w:tcBorders>
              <w:top w:val="nil"/>
              <w:left w:val="nil"/>
              <w:bottom w:val="single" w:sz="12" w:space="0" w:color="auto"/>
              <w:right w:val="single" w:sz="4" w:space="0" w:color="auto"/>
            </w:tcBorders>
            <w:shd w:val="clear" w:color="auto" w:fill="auto"/>
            <w:noWrap/>
            <w:vAlign w:val="center"/>
            <w:hideMark/>
          </w:tcPr>
          <w:p w14:paraId="34271EB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1 193</w:t>
            </w:r>
          </w:p>
        </w:tc>
        <w:tc>
          <w:tcPr>
            <w:tcW w:w="805" w:type="dxa"/>
            <w:tcBorders>
              <w:top w:val="nil"/>
              <w:left w:val="nil"/>
              <w:bottom w:val="single" w:sz="12" w:space="0" w:color="auto"/>
              <w:right w:val="single" w:sz="4" w:space="0" w:color="auto"/>
            </w:tcBorders>
            <w:shd w:val="clear" w:color="auto" w:fill="auto"/>
            <w:noWrap/>
            <w:vAlign w:val="center"/>
            <w:hideMark/>
          </w:tcPr>
          <w:p w14:paraId="5BD25A1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995</w:t>
            </w:r>
          </w:p>
        </w:tc>
        <w:tc>
          <w:tcPr>
            <w:tcW w:w="804" w:type="dxa"/>
            <w:tcBorders>
              <w:top w:val="nil"/>
              <w:left w:val="nil"/>
              <w:bottom w:val="single" w:sz="12" w:space="0" w:color="auto"/>
              <w:right w:val="single" w:sz="4" w:space="0" w:color="auto"/>
            </w:tcBorders>
            <w:shd w:val="clear" w:color="auto" w:fill="auto"/>
            <w:noWrap/>
            <w:vAlign w:val="center"/>
            <w:hideMark/>
          </w:tcPr>
          <w:p w14:paraId="2FD7687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814</w:t>
            </w:r>
          </w:p>
        </w:tc>
        <w:tc>
          <w:tcPr>
            <w:tcW w:w="804" w:type="dxa"/>
            <w:tcBorders>
              <w:top w:val="nil"/>
              <w:left w:val="nil"/>
              <w:bottom w:val="single" w:sz="12" w:space="0" w:color="auto"/>
              <w:right w:val="single" w:sz="4" w:space="0" w:color="auto"/>
            </w:tcBorders>
            <w:shd w:val="clear" w:color="auto" w:fill="auto"/>
            <w:noWrap/>
            <w:vAlign w:val="center"/>
            <w:hideMark/>
          </w:tcPr>
          <w:p w14:paraId="75CE9E7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997</w:t>
            </w:r>
          </w:p>
        </w:tc>
        <w:tc>
          <w:tcPr>
            <w:tcW w:w="804" w:type="dxa"/>
            <w:tcBorders>
              <w:top w:val="nil"/>
              <w:left w:val="nil"/>
              <w:bottom w:val="single" w:sz="12" w:space="0" w:color="auto"/>
              <w:right w:val="single" w:sz="4" w:space="0" w:color="auto"/>
            </w:tcBorders>
            <w:shd w:val="clear" w:color="auto" w:fill="auto"/>
            <w:noWrap/>
            <w:vAlign w:val="center"/>
            <w:hideMark/>
          </w:tcPr>
          <w:p w14:paraId="12A1951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991</w:t>
            </w:r>
          </w:p>
        </w:tc>
        <w:tc>
          <w:tcPr>
            <w:tcW w:w="804" w:type="dxa"/>
            <w:tcBorders>
              <w:top w:val="nil"/>
              <w:left w:val="nil"/>
              <w:bottom w:val="single" w:sz="12" w:space="0" w:color="auto"/>
              <w:right w:val="single" w:sz="4" w:space="0" w:color="auto"/>
            </w:tcBorders>
            <w:shd w:val="clear" w:color="auto" w:fill="auto"/>
            <w:noWrap/>
            <w:vAlign w:val="center"/>
            <w:hideMark/>
          </w:tcPr>
          <w:p w14:paraId="5BE1822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1 179</w:t>
            </w:r>
          </w:p>
        </w:tc>
        <w:tc>
          <w:tcPr>
            <w:tcW w:w="805" w:type="dxa"/>
            <w:tcBorders>
              <w:top w:val="nil"/>
              <w:left w:val="nil"/>
              <w:bottom w:val="single" w:sz="12" w:space="0" w:color="auto"/>
              <w:right w:val="single" w:sz="4" w:space="0" w:color="auto"/>
            </w:tcBorders>
            <w:shd w:val="clear" w:color="auto" w:fill="auto"/>
            <w:noWrap/>
            <w:vAlign w:val="center"/>
            <w:hideMark/>
          </w:tcPr>
          <w:p w14:paraId="754BC49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949</w:t>
            </w:r>
          </w:p>
        </w:tc>
        <w:tc>
          <w:tcPr>
            <w:tcW w:w="804" w:type="dxa"/>
            <w:tcBorders>
              <w:top w:val="nil"/>
              <w:left w:val="nil"/>
              <w:bottom w:val="single" w:sz="12" w:space="0" w:color="auto"/>
              <w:right w:val="single" w:sz="4" w:space="0" w:color="auto"/>
            </w:tcBorders>
            <w:shd w:val="clear" w:color="auto" w:fill="auto"/>
            <w:noWrap/>
            <w:vAlign w:val="center"/>
            <w:hideMark/>
          </w:tcPr>
          <w:p w14:paraId="76C3048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1 091</w:t>
            </w:r>
          </w:p>
        </w:tc>
        <w:tc>
          <w:tcPr>
            <w:tcW w:w="804" w:type="dxa"/>
            <w:tcBorders>
              <w:top w:val="nil"/>
              <w:left w:val="nil"/>
              <w:bottom w:val="single" w:sz="12" w:space="0" w:color="auto"/>
              <w:right w:val="single" w:sz="4" w:space="0" w:color="auto"/>
            </w:tcBorders>
            <w:shd w:val="clear" w:color="auto" w:fill="auto"/>
            <w:noWrap/>
            <w:vAlign w:val="center"/>
            <w:hideMark/>
          </w:tcPr>
          <w:p w14:paraId="3291266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1 052</w:t>
            </w:r>
          </w:p>
        </w:tc>
        <w:tc>
          <w:tcPr>
            <w:tcW w:w="804" w:type="dxa"/>
            <w:tcBorders>
              <w:top w:val="nil"/>
              <w:left w:val="nil"/>
              <w:bottom w:val="single" w:sz="12" w:space="0" w:color="auto"/>
              <w:right w:val="single" w:sz="4" w:space="0" w:color="auto"/>
            </w:tcBorders>
            <w:shd w:val="clear" w:color="auto" w:fill="auto"/>
            <w:noWrap/>
            <w:vAlign w:val="center"/>
            <w:hideMark/>
          </w:tcPr>
          <w:p w14:paraId="057C01C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880</w:t>
            </w:r>
          </w:p>
        </w:tc>
        <w:tc>
          <w:tcPr>
            <w:tcW w:w="804" w:type="dxa"/>
            <w:tcBorders>
              <w:top w:val="nil"/>
              <w:left w:val="nil"/>
              <w:bottom w:val="single" w:sz="12" w:space="0" w:color="auto"/>
              <w:right w:val="single" w:sz="4" w:space="0" w:color="auto"/>
            </w:tcBorders>
            <w:shd w:val="clear" w:color="auto" w:fill="auto"/>
            <w:noWrap/>
            <w:vAlign w:val="center"/>
            <w:hideMark/>
          </w:tcPr>
          <w:p w14:paraId="015D3BD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776</w:t>
            </w:r>
          </w:p>
        </w:tc>
        <w:tc>
          <w:tcPr>
            <w:tcW w:w="805" w:type="dxa"/>
            <w:tcBorders>
              <w:top w:val="nil"/>
              <w:left w:val="nil"/>
              <w:bottom w:val="single" w:sz="12" w:space="0" w:color="auto"/>
              <w:right w:val="single" w:sz="12" w:space="0" w:color="auto"/>
            </w:tcBorders>
            <w:shd w:val="clear" w:color="auto" w:fill="auto"/>
            <w:noWrap/>
            <w:vAlign w:val="center"/>
            <w:hideMark/>
          </w:tcPr>
          <w:p w14:paraId="70CE3778"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1 110</w:t>
            </w:r>
          </w:p>
        </w:tc>
      </w:tr>
      <w:tr w:rsidR="00B927FE" w:rsidRPr="00B927FE" w14:paraId="29606021" w14:textId="77777777" w:rsidTr="004A7BE6">
        <w:trPr>
          <w:trHeight w:val="54"/>
        </w:trPr>
        <w:tc>
          <w:tcPr>
            <w:tcW w:w="1094" w:type="dxa"/>
            <w:vMerge w:val="restart"/>
            <w:tcBorders>
              <w:top w:val="single" w:sz="12" w:space="0" w:color="auto"/>
              <w:left w:val="single" w:sz="12" w:space="0" w:color="auto"/>
              <w:bottom w:val="single" w:sz="8" w:space="0" w:color="000000"/>
              <w:right w:val="single" w:sz="4" w:space="0" w:color="auto"/>
            </w:tcBorders>
            <w:shd w:val="clear" w:color="000000" w:fill="C2E2DB"/>
            <w:textDirection w:val="btLr"/>
            <w:vAlign w:val="center"/>
            <w:hideMark/>
          </w:tcPr>
          <w:p w14:paraId="63F71E13" w14:textId="110384BC" w:rsidR="00B927FE" w:rsidRPr="00B927FE" w:rsidRDefault="00B927FE" w:rsidP="00C62D35">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Kontrolní</w:t>
            </w:r>
            <w:r w:rsidR="00C62D35">
              <w:rPr>
                <w:rFonts w:eastAsia="Times New Roman" w:cstheme="minorHAnsi"/>
                <w:b/>
                <w:bCs/>
                <w:color w:val="000000"/>
                <w:sz w:val="18"/>
                <w:szCs w:val="18"/>
                <w:lang w:eastAsia="cs-CZ"/>
              </w:rPr>
              <w:t xml:space="preserve"> </w:t>
            </w:r>
            <w:r w:rsidR="00C62D35">
              <w:rPr>
                <w:rFonts w:eastAsia="Times New Roman" w:cstheme="minorHAnsi"/>
                <w:b/>
                <w:bCs/>
                <w:color w:val="000000"/>
                <w:sz w:val="18"/>
                <w:szCs w:val="18"/>
                <w:lang w:eastAsia="cs-CZ"/>
              </w:rPr>
              <w:br/>
            </w:r>
            <w:r w:rsidRPr="00B927FE">
              <w:rPr>
                <w:rFonts w:eastAsia="Times New Roman" w:cstheme="minorHAnsi"/>
                <w:b/>
                <w:bCs/>
                <w:color w:val="000000"/>
                <w:sz w:val="18"/>
                <w:szCs w:val="18"/>
                <w:lang w:eastAsia="cs-CZ"/>
              </w:rPr>
              <w:t>činnost</w:t>
            </w:r>
          </w:p>
        </w:tc>
        <w:tc>
          <w:tcPr>
            <w:tcW w:w="804" w:type="dxa"/>
            <w:tcBorders>
              <w:top w:val="single" w:sz="12" w:space="0" w:color="auto"/>
              <w:left w:val="nil"/>
              <w:bottom w:val="single" w:sz="4" w:space="0" w:color="auto"/>
              <w:right w:val="single" w:sz="4" w:space="0" w:color="auto"/>
            </w:tcBorders>
            <w:shd w:val="clear" w:color="000000" w:fill="C2E2DB"/>
            <w:noWrap/>
            <w:vAlign w:val="center"/>
            <w:hideMark/>
          </w:tcPr>
          <w:p w14:paraId="1A49AA5A"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2018</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1719044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9,4</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35C6F45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8,5</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2C9946F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5,2</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0F44278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8,7</w:t>
            </w:r>
          </w:p>
        </w:tc>
        <w:tc>
          <w:tcPr>
            <w:tcW w:w="805" w:type="dxa"/>
            <w:tcBorders>
              <w:top w:val="single" w:sz="12" w:space="0" w:color="auto"/>
              <w:left w:val="nil"/>
              <w:bottom w:val="single" w:sz="4" w:space="0" w:color="auto"/>
              <w:right w:val="single" w:sz="4" w:space="0" w:color="auto"/>
            </w:tcBorders>
            <w:shd w:val="clear" w:color="auto" w:fill="auto"/>
            <w:noWrap/>
            <w:vAlign w:val="center"/>
            <w:hideMark/>
          </w:tcPr>
          <w:p w14:paraId="44AD4FE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16,0</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47DFB71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6,4</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6C8013E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4,9</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0889166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5,2</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0E2D6D5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1,9</w:t>
            </w:r>
          </w:p>
        </w:tc>
        <w:tc>
          <w:tcPr>
            <w:tcW w:w="805" w:type="dxa"/>
            <w:tcBorders>
              <w:top w:val="single" w:sz="12" w:space="0" w:color="auto"/>
              <w:left w:val="nil"/>
              <w:bottom w:val="single" w:sz="4" w:space="0" w:color="auto"/>
              <w:right w:val="single" w:sz="4" w:space="0" w:color="auto"/>
            </w:tcBorders>
            <w:shd w:val="clear" w:color="auto" w:fill="auto"/>
            <w:noWrap/>
            <w:vAlign w:val="center"/>
            <w:hideMark/>
          </w:tcPr>
          <w:p w14:paraId="7FC7BEF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6,0</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2CF55A2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6,4</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5B9056F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2,4</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4B6548E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3,5</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07AA937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7,0</w:t>
            </w:r>
          </w:p>
        </w:tc>
        <w:tc>
          <w:tcPr>
            <w:tcW w:w="805" w:type="dxa"/>
            <w:tcBorders>
              <w:top w:val="single" w:sz="12" w:space="0" w:color="auto"/>
              <w:left w:val="nil"/>
              <w:bottom w:val="single" w:sz="4" w:space="0" w:color="auto"/>
              <w:right w:val="single" w:sz="12" w:space="0" w:color="auto"/>
            </w:tcBorders>
            <w:shd w:val="clear" w:color="auto" w:fill="auto"/>
            <w:noWrap/>
            <w:vAlign w:val="center"/>
            <w:hideMark/>
          </w:tcPr>
          <w:p w14:paraId="35E83C5C"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6,5</w:t>
            </w:r>
          </w:p>
        </w:tc>
      </w:tr>
      <w:tr w:rsidR="00B927FE" w:rsidRPr="00B927FE" w14:paraId="58F6CB74" w14:textId="77777777" w:rsidTr="004A7BE6">
        <w:trPr>
          <w:trHeight w:val="54"/>
        </w:trPr>
        <w:tc>
          <w:tcPr>
            <w:tcW w:w="1094" w:type="dxa"/>
            <w:vMerge/>
            <w:tcBorders>
              <w:top w:val="nil"/>
              <w:left w:val="single" w:sz="12" w:space="0" w:color="auto"/>
              <w:bottom w:val="single" w:sz="8" w:space="0" w:color="000000"/>
              <w:right w:val="single" w:sz="4" w:space="0" w:color="auto"/>
            </w:tcBorders>
            <w:vAlign w:val="center"/>
            <w:hideMark/>
          </w:tcPr>
          <w:p w14:paraId="71548922"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C2E2DB"/>
            <w:noWrap/>
            <w:vAlign w:val="center"/>
            <w:hideMark/>
          </w:tcPr>
          <w:p w14:paraId="531DD191"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2019</w:t>
            </w:r>
          </w:p>
        </w:tc>
        <w:tc>
          <w:tcPr>
            <w:tcW w:w="804" w:type="dxa"/>
            <w:tcBorders>
              <w:top w:val="nil"/>
              <w:left w:val="nil"/>
              <w:bottom w:val="single" w:sz="4" w:space="0" w:color="auto"/>
              <w:right w:val="single" w:sz="4" w:space="0" w:color="auto"/>
            </w:tcBorders>
            <w:shd w:val="clear" w:color="auto" w:fill="auto"/>
            <w:noWrap/>
            <w:vAlign w:val="center"/>
            <w:hideMark/>
          </w:tcPr>
          <w:p w14:paraId="39FD770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8,1</w:t>
            </w:r>
          </w:p>
        </w:tc>
        <w:tc>
          <w:tcPr>
            <w:tcW w:w="804" w:type="dxa"/>
            <w:tcBorders>
              <w:top w:val="nil"/>
              <w:left w:val="nil"/>
              <w:bottom w:val="single" w:sz="4" w:space="0" w:color="auto"/>
              <w:right w:val="single" w:sz="4" w:space="0" w:color="auto"/>
            </w:tcBorders>
            <w:shd w:val="clear" w:color="auto" w:fill="auto"/>
            <w:noWrap/>
            <w:vAlign w:val="center"/>
            <w:hideMark/>
          </w:tcPr>
          <w:p w14:paraId="4BCC08B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8,2</w:t>
            </w:r>
          </w:p>
        </w:tc>
        <w:tc>
          <w:tcPr>
            <w:tcW w:w="804" w:type="dxa"/>
            <w:tcBorders>
              <w:top w:val="nil"/>
              <w:left w:val="nil"/>
              <w:bottom w:val="single" w:sz="4" w:space="0" w:color="auto"/>
              <w:right w:val="single" w:sz="4" w:space="0" w:color="auto"/>
            </w:tcBorders>
            <w:shd w:val="clear" w:color="auto" w:fill="auto"/>
            <w:noWrap/>
            <w:vAlign w:val="center"/>
            <w:hideMark/>
          </w:tcPr>
          <w:p w14:paraId="6D77C8D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5,5</w:t>
            </w:r>
          </w:p>
        </w:tc>
        <w:tc>
          <w:tcPr>
            <w:tcW w:w="804" w:type="dxa"/>
            <w:tcBorders>
              <w:top w:val="nil"/>
              <w:left w:val="nil"/>
              <w:bottom w:val="single" w:sz="4" w:space="0" w:color="auto"/>
              <w:right w:val="single" w:sz="4" w:space="0" w:color="auto"/>
            </w:tcBorders>
            <w:shd w:val="clear" w:color="auto" w:fill="auto"/>
            <w:noWrap/>
            <w:vAlign w:val="center"/>
            <w:hideMark/>
          </w:tcPr>
          <w:p w14:paraId="276006C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8,2</w:t>
            </w:r>
          </w:p>
        </w:tc>
        <w:tc>
          <w:tcPr>
            <w:tcW w:w="805" w:type="dxa"/>
            <w:tcBorders>
              <w:top w:val="nil"/>
              <w:left w:val="nil"/>
              <w:bottom w:val="single" w:sz="4" w:space="0" w:color="auto"/>
              <w:right w:val="single" w:sz="4" w:space="0" w:color="auto"/>
            </w:tcBorders>
            <w:shd w:val="clear" w:color="auto" w:fill="auto"/>
            <w:noWrap/>
            <w:vAlign w:val="center"/>
            <w:hideMark/>
          </w:tcPr>
          <w:p w14:paraId="29F15FC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6,8</w:t>
            </w:r>
          </w:p>
        </w:tc>
        <w:tc>
          <w:tcPr>
            <w:tcW w:w="804" w:type="dxa"/>
            <w:tcBorders>
              <w:top w:val="nil"/>
              <w:left w:val="nil"/>
              <w:bottom w:val="single" w:sz="4" w:space="0" w:color="auto"/>
              <w:right w:val="single" w:sz="4" w:space="0" w:color="auto"/>
            </w:tcBorders>
            <w:shd w:val="clear" w:color="auto" w:fill="auto"/>
            <w:noWrap/>
            <w:vAlign w:val="center"/>
            <w:hideMark/>
          </w:tcPr>
          <w:p w14:paraId="2BF5354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6,0</w:t>
            </w:r>
          </w:p>
        </w:tc>
        <w:tc>
          <w:tcPr>
            <w:tcW w:w="804" w:type="dxa"/>
            <w:tcBorders>
              <w:top w:val="nil"/>
              <w:left w:val="nil"/>
              <w:bottom w:val="single" w:sz="4" w:space="0" w:color="auto"/>
              <w:right w:val="single" w:sz="4" w:space="0" w:color="auto"/>
            </w:tcBorders>
            <w:shd w:val="clear" w:color="auto" w:fill="auto"/>
            <w:noWrap/>
            <w:vAlign w:val="center"/>
            <w:hideMark/>
          </w:tcPr>
          <w:p w14:paraId="790AD88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3,5</w:t>
            </w:r>
          </w:p>
        </w:tc>
        <w:tc>
          <w:tcPr>
            <w:tcW w:w="804" w:type="dxa"/>
            <w:tcBorders>
              <w:top w:val="nil"/>
              <w:left w:val="nil"/>
              <w:bottom w:val="single" w:sz="4" w:space="0" w:color="auto"/>
              <w:right w:val="single" w:sz="4" w:space="0" w:color="auto"/>
            </w:tcBorders>
            <w:shd w:val="clear" w:color="auto" w:fill="auto"/>
            <w:noWrap/>
            <w:vAlign w:val="center"/>
            <w:hideMark/>
          </w:tcPr>
          <w:p w14:paraId="3020F80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3,7</w:t>
            </w:r>
          </w:p>
        </w:tc>
        <w:tc>
          <w:tcPr>
            <w:tcW w:w="804" w:type="dxa"/>
            <w:tcBorders>
              <w:top w:val="nil"/>
              <w:left w:val="nil"/>
              <w:bottom w:val="single" w:sz="4" w:space="0" w:color="auto"/>
              <w:right w:val="single" w:sz="4" w:space="0" w:color="auto"/>
            </w:tcBorders>
            <w:shd w:val="clear" w:color="auto" w:fill="auto"/>
            <w:noWrap/>
            <w:vAlign w:val="center"/>
            <w:hideMark/>
          </w:tcPr>
          <w:p w14:paraId="7BD6ECB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2,6</w:t>
            </w:r>
          </w:p>
        </w:tc>
        <w:tc>
          <w:tcPr>
            <w:tcW w:w="805" w:type="dxa"/>
            <w:tcBorders>
              <w:top w:val="nil"/>
              <w:left w:val="nil"/>
              <w:bottom w:val="single" w:sz="4" w:space="0" w:color="auto"/>
              <w:right w:val="single" w:sz="4" w:space="0" w:color="auto"/>
            </w:tcBorders>
            <w:shd w:val="clear" w:color="auto" w:fill="auto"/>
            <w:noWrap/>
            <w:vAlign w:val="center"/>
            <w:hideMark/>
          </w:tcPr>
          <w:p w14:paraId="7F451F9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6,1</w:t>
            </w:r>
          </w:p>
        </w:tc>
        <w:tc>
          <w:tcPr>
            <w:tcW w:w="804" w:type="dxa"/>
            <w:tcBorders>
              <w:top w:val="nil"/>
              <w:left w:val="nil"/>
              <w:bottom w:val="single" w:sz="4" w:space="0" w:color="auto"/>
              <w:right w:val="single" w:sz="4" w:space="0" w:color="auto"/>
            </w:tcBorders>
            <w:shd w:val="clear" w:color="auto" w:fill="auto"/>
            <w:noWrap/>
            <w:vAlign w:val="center"/>
            <w:hideMark/>
          </w:tcPr>
          <w:p w14:paraId="19D9094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6,5</w:t>
            </w:r>
          </w:p>
        </w:tc>
        <w:tc>
          <w:tcPr>
            <w:tcW w:w="804" w:type="dxa"/>
            <w:tcBorders>
              <w:top w:val="nil"/>
              <w:left w:val="nil"/>
              <w:bottom w:val="single" w:sz="4" w:space="0" w:color="auto"/>
              <w:right w:val="single" w:sz="4" w:space="0" w:color="auto"/>
            </w:tcBorders>
            <w:shd w:val="clear" w:color="auto" w:fill="auto"/>
            <w:noWrap/>
            <w:vAlign w:val="center"/>
            <w:hideMark/>
          </w:tcPr>
          <w:p w14:paraId="36455ED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3,8</w:t>
            </w:r>
          </w:p>
        </w:tc>
        <w:tc>
          <w:tcPr>
            <w:tcW w:w="804" w:type="dxa"/>
            <w:tcBorders>
              <w:top w:val="nil"/>
              <w:left w:val="nil"/>
              <w:bottom w:val="single" w:sz="4" w:space="0" w:color="auto"/>
              <w:right w:val="single" w:sz="4" w:space="0" w:color="auto"/>
            </w:tcBorders>
            <w:shd w:val="clear" w:color="auto" w:fill="auto"/>
            <w:noWrap/>
            <w:vAlign w:val="center"/>
            <w:hideMark/>
          </w:tcPr>
          <w:p w14:paraId="1E53BEC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2,9</w:t>
            </w:r>
          </w:p>
        </w:tc>
        <w:tc>
          <w:tcPr>
            <w:tcW w:w="804" w:type="dxa"/>
            <w:tcBorders>
              <w:top w:val="nil"/>
              <w:left w:val="nil"/>
              <w:bottom w:val="single" w:sz="4" w:space="0" w:color="auto"/>
              <w:right w:val="single" w:sz="4" w:space="0" w:color="auto"/>
            </w:tcBorders>
            <w:shd w:val="clear" w:color="auto" w:fill="auto"/>
            <w:noWrap/>
            <w:vAlign w:val="center"/>
            <w:hideMark/>
          </w:tcPr>
          <w:p w14:paraId="0DCB01B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7,1</w:t>
            </w:r>
          </w:p>
        </w:tc>
        <w:tc>
          <w:tcPr>
            <w:tcW w:w="805" w:type="dxa"/>
            <w:tcBorders>
              <w:top w:val="nil"/>
              <w:left w:val="nil"/>
              <w:bottom w:val="single" w:sz="4" w:space="0" w:color="auto"/>
              <w:right w:val="single" w:sz="12" w:space="0" w:color="auto"/>
            </w:tcBorders>
            <w:shd w:val="clear" w:color="auto" w:fill="auto"/>
            <w:noWrap/>
            <w:vAlign w:val="center"/>
            <w:hideMark/>
          </w:tcPr>
          <w:p w14:paraId="400D4AAE"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5,6</w:t>
            </w:r>
          </w:p>
        </w:tc>
      </w:tr>
      <w:tr w:rsidR="00B927FE" w:rsidRPr="00B927FE" w14:paraId="5804AA46" w14:textId="77777777" w:rsidTr="004A7BE6">
        <w:trPr>
          <w:trHeight w:val="54"/>
        </w:trPr>
        <w:tc>
          <w:tcPr>
            <w:tcW w:w="1094" w:type="dxa"/>
            <w:vMerge/>
            <w:tcBorders>
              <w:top w:val="nil"/>
              <w:left w:val="single" w:sz="12" w:space="0" w:color="auto"/>
              <w:bottom w:val="single" w:sz="8" w:space="0" w:color="000000"/>
              <w:right w:val="single" w:sz="4" w:space="0" w:color="auto"/>
            </w:tcBorders>
            <w:vAlign w:val="center"/>
            <w:hideMark/>
          </w:tcPr>
          <w:p w14:paraId="0EE7FD9B"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C2E2DB"/>
            <w:noWrap/>
            <w:vAlign w:val="center"/>
            <w:hideMark/>
          </w:tcPr>
          <w:p w14:paraId="74F8DC53"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2020</w:t>
            </w:r>
          </w:p>
        </w:tc>
        <w:tc>
          <w:tcPr>
            <w:tcW w:w="804" w:type="dxa"/>
            <w:tcBorders>
              <w:top w:val="nil"/>
              <w:left w:val="nil"/>
              <w:bottom w:val="single" w:sz="4" w:space="0" w:color="auto"/>
              <w:right w:val="single" w:sz="4" w:space="0" w:color="auto"/>
            </w:tcBorders>
            <w:shd w:val="clear" w:color="auto" w:fill="auto"/>
            <w:noWrap/>
            <w:vAlign w:val="center"/>
            <w:hideMark/>
          </w:tcPr>
          <w:p w14:paraId="0A29652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6,3</w:t>
            </w:r>
          </w:p>
        </w:tc>
        <w:tc>
          <w:tcPr>
            <w:tcW w:w="804" w:type="dxa"/>
            <w:tcBorders>
              <w:top w:val="nil"/>
              <w:left w:val="nil"/>
              <w:bottom w:val="single" w:sz="4" w:space="0" w:color="auto"/>
              <w:right w:val="single" w:sz="4" w:space="0" w:color="auto"/>
            </w:tcBorders>
            <w:shd w:val="clear" w:color="auto" w:fill="auto"/>
            <w:noWrap/>
            <w:vAlign w:val="center"/>
            <w:hideMark/>
          </w:tcPr>
          <w:p w14:paraId="7119319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4,9</w:t>
            </w:r>
          </w:p>
        </w:tc>
        <w:tc>
          <w:tcPr>
            <w:tcW w:w="804" w:type="dxa"/>
            <w:tcBorders>
              <w:top w:val="nil"/>
              <w:left w:val="nil"/>
              <w:bottom w:val="single" w:sz="4" w:space="0" w:color="auto"/>
              <w:right w:val="single" w:sz="4" w:space="0" w:color="auto"/>
            </w:tcBorders>
            <w:shd w:val="clear" w:color="auto" w:fill="auto"/>
            <w:noWrap/>
            <w:vAlign w:val="center"/>
            <w:hideMark/>
          </w:tcPr>
          <w:p w14:paraId="6E90A48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3,8</w:t>
            </w:r>
          </w:p>
        </w:tc>
        <w:tc>
          <w:tcPr>
            <w:tcW w:w="804" w:type="dxa"/>
            <w:tcBorders>
              <w:top w:val="nil"/>
              <w:left w:val="nil"/>
              <w:bottom w:val="single" w:sz="4" w:space="0" w:color="auto"/>
              <w:right w:val="single" w:sz="4" w:space="0" w:color="auto"/>
            </w:tcBorders>
            <w:shd w:val="clear" w:color="auto" w:fill="auto"/>
            <w:noWrap/>
            <w:vAlign w:val="center"/>
            <w:hideMark/>
          </w:tcPr>
          <w:p w14:paraId="3E04C94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4,7</w:t>
            </w:r>
          </w:p>
        </w:tc>
        <w:tc>
          <w:tcPr>
            <w:tcW w:w="805" w:type="dxa"/>
            <w:tcBorders>
              <w:top w:val="nil"/>
              <w:left w:val="nil"/>
              <w:bottom w:val="single" w:sz="4" w:space="0" w:color="auto"/>
              <w:right w:val="single" w:sz="4" w:space="0" w:color="auto"/>
            </w:tcBorders>
            <w:shd w:val="clear" w:color="auto" w:fill="auto"/>
            <w:noWrap/>
            <w:vAlign w:val="center"/>
            <w:hideMark/>
          </w:tcPr>
          <w:p w14:paraId="58A97FF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6,3</w:t>
            </w:r>
          </w:p>
        </w:tc>
        <w:tc>
          <w:tcPr>
            <w:tcW w:w="804" w:type="dxa"/>
            <w:tcBorders>
              <w:top w:val="nil"/>
              <w:left w:val="nil"/>
              <w:bottom w:val="single" w:sz="4" w:space="0" w:color="auto"/>
              <w:right w:val="single" w:sz="4" w:space="0" w:color="auto"/>
            </w:tcBorders>
            <w:shd w:val="clear" w:color="auto" w:fill="auto"/>
            <w:noWrap/>
            <w:vAlign w:val="center"/>
            <w:hideMark/>
          </w:tcPr>
          <w:p w14:paraId="799F90F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3,5</w:t>
            </w:r>
          </w:p>
        </w:tc>
        <w:tc>
          <w:tcPr>
            <w:tcW w:w="804" w:type="dxa"/>
            <w:tcBorders>
              <w:top w:val="nil"/>
              <w:left w:val="nil"/>
              <w:bottom w:val="single" w:sz="4" w:space="0" w:color="auto"/>
              <w:right w:val="single" w:sz="4" w:space="0" w:color="auto"/>
            </w:tcBorders>
            <w:shd w:val="clear" w:color="auto" w:fill="auto"/>
            <w:noWrap/>
            <w:vAlign w:val="center"/>
            <w:hideMark/>
          </w:tcPr>
          <w:p w14:paraId="7988D97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3,8</w:t>
            </w:r>
          </w:p>
        </w:tc>
        <w:tc>
          <w:tcPr>
            <w:tcW w:w="804" w:type="dxa"/>
            <w:tcBorders>
              <w:top w:val="nil"/>
              <w:left w:val="nil"/>
              <w:bottom w:val="single" w:sz="4" w:space="0" w:color="auto"/>
              <w:right w:val="single" w:sz="4" w:space="0" w:color="auto"/>
            </w:tcBorders>
            <w:shd w:val="clear" w:color="auto" w:fill="auto"/>
            <w:noWrap/>
            <w:vAlign w:val="center"/>
            <w:hideMark/>
          </w:tcPr>
          <w:p w14:paraId="120CDCE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1,9</w:t>
            </w:r>
          </w:p>
        </w:tc>
        <w:tc>
          <w:tcPr>
            <w:tcW w:w="804" w:type="dxa"/>
            <w:tcBorders>
              <w:top w:val="nil"/>
              <w:left w:val="nil"/>
              <w:bottom w:val="single" w:sz="4" w:space="0" w:color="auto"/>
              <w:right w:val="single" w:sz="4" w:space="0" w:color="auto"/>
            </w:tcBorders>
            <w:shd w:val="clear" w:color="auto" w:fill="auto"/>
            <w:noWrap/>
            <w:vAlign w:val="center"/>
            <w:hideMark/>
          </w:tcPr>
          <w:p w14:paraId="1282E52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1,7</w:t>
            </w:r>
          </w:p>
        </w:tc>
        <w:tc>
          <w:tcPr>
            <w:tcW w:w="805" w:type="dxa"/>
            <w:tcBorders>
              <w:top w:val="nil"/>
              <w:left w:val="nil"/>
              <w:bottom w:val="single" w:sz="4" w:space="0" w:color="auto"/>
              <w:right w:val="single" w:sz="4" w:space="0" w:color="auto"/>
            </w:tcBorders>
            <w:shd w:val="clear" w:color="auto" w:fill="auto"/>
            <w:noWrap/>
            <w:vAlign w:val="center"/>
            <w:hideMark/>
          </w:tcPr>
          <w:p w14:paraId="429CF5B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4,2</w:t>
            </w:r>
          </w:p>
        </w:tc>
        <w:tc>
          <w:tcPr>
            <w:tcW w:w="804" w:type="dxa"/>
            <w:tcBorders>
              <w:top w:val="nil"/>
              <w:left w:val="nil"/>
              <w:bottom w:val="single" w:sz="4" w:space="0" w:color="auto"/>
              <w:right w:val="single" w:sz="4" w:space="0" w:color="auto"/>
            </w:tcBorders>
            <w:shd w:val="clear" w:color="auto" w:fill="auto"/>
            <w:noWrap/>
            <w:vAlign w:val="center"/>
            <w:hideMark/>
          </w:tcPr>
          <w:p w14:paraId="1A8B0EF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4,6</w:t>
            </w:r>
          </w:p>
        </w:tc>
        <w:tc>
          <w:tcPr>
            <w:tcW w:w="804" w:type="dxa"/>
            <w:tcBorders>
              <w:top w:val="nil"/>
              <w:left w:val="nil"/>
              <w:bottom w:val="single" w:sz="4" w:space="0" w:color="auto"/>
              <w:right w:val="single" w:sz="4" w:space="0" w:color="auto"/>
            </w:tcBorders>
            <w:shd w:val="clear" w:color="auto" w:fill="auto"/>
            <w:noWrap/>
            <w:vAlign w:val="center"/>
            <w:hideMark/>
          </w:tcPr>
          <w:p w14:paraId="63CA47B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3,0</w:t>
            </w:r>
          </w:p>
        </w:tc>
        <w:tc>
          <w:tcPr>
            <w:tcW w:w="804" w:type="dxa"/>
            <w:tcBorders>
              <w:top w:val="nil"/>
              <w:left w:val="nil"/>
              <w:bottom w:val="single" w:sz="4" w:space="0" w:color="auto"/>
              <w:right w:val="single" w:sz="4" w:space="0" w:color="auto"/>
            </w:tcBorders>
            <w:shd w:val="clear" w:color="auto" w:fill="auto"/>
            <w:noWrap/>
            <w:vAlign w:val="center"/>
            <w:hideMark/>
          </w:tcPr>
          <w:p w14:paraId="622E087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1,4</w:t>
            </w:r>
          </w:p>
        </w:tc>
        <w:tc>
          <w:tcPr>
            <w:tcW w:w="804" w:type="dxa"/>
            <w:tcBorders>
              <w:top w:val="nil"/>
              <w:left w:val="nil"/>
              <w:bottom w:val="single" w:sz="4" w:space="0" w:color="auto"/>
              <w:right w:val="single" w:sz="4" w:space="0" w:color="auto"/>
            </w:tcBorders>
            <w:shd w:val="clear" w:color="auto" w:fill="auto"/>
            <w:noWrap/>
            <w:vAlign w:val="center"/>
            <w:hideMark/>
          </w:tcPr>
          <w:p w14:paraId="1B0817B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3,5</w:t>
            </w:r>
          </w:p>
        </w:tc>
        <w:tc>
          <w:tcPr>
            <w:tcW w:w="805" w:type="dxa"/>
            <w:tcBorders>
              <w:top w:val="nil"/>
              <w:left w:val="nil"/>
              <w:bottom w:val="single" w:sz="4" w:space="0" w:color="auto"/>
              <w:right w:val="single" w:sz="12" w:space="0" w:color="auto"/>
            </w:tcBorders>
            <w:shd w:val="clear" w:color="auto" w:fill="auto"/>
            <w:noWrap/>
            <w:vAlign w:val="center"/>
            <w:hideMark/>
          </w:tcPr>
          <w:p w14:paraId="2082E129"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3,8</w:t>
            </w:r>
          </w:p>
        </w:tc>
      </w:tr>
      <w:tr w:rsidR="00B927FE" w:rsidRPr="00B927FE" w14:paraId="1FFED499" w14:textId="77777777" w:rsidTr="004A7BE6">
        <w:trPr>
          <w:trHeight w:val="54"/>
        </w:trPr>
        <w:tc>
          <w:tcPr>
            <w:tcW w:w="1094" w:type="dxa"/>
            <w:vMerge/>
            <w:tcBorders>
              <w:top w:val="nil"/>
              <w:left w:val="single" w:sz="12" w:space="0" w:color="auto"/>
              <w:bottom w:val="single" w:sz="8" w:space="0" w:color="000000"/>
              <w:right w:val="single" w:sz="4" w:space="0" w:color="auto"/>
            </w:tcBorders>
            <w:vAlign w:val="center"/>
            <w:hideMark/>
          </w:tcPr>
          <w:p w14:paraId="46052B1A"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C2E2DB"/>
            <w:noWrap/>
            <w:vAlign w:val="center"/>
            <w:hideMark/>
          </w:tcPr>
          <w:p w14:paraId="4F535EF5"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2021</w:t>
            </w:r>
          </w:p>
        </w:tc>
        <w:tc>
          <w:tcPr>
            <w:tcW w:w="804" w:type="dxa"/>
            <w:tcBorders>
              <w:top w:val="nil"/>
              <w:left w:val="nil"/>
              <w:bottom w:val="single" w:sz="4" w:space="0" w:color="auto"/>
              <w:right w:val="single" w:sz="4" w:space="0" w:color="auto"/>
            </w:tcBorders>
            <w:shd w:val="clear" w:color="auto" w:fill="auto"/>
            <w:noWrap/>
            <w:vAlign w:val="center"/>
            <w:hideMark/>
          </w:tcPr>
          <w:p w14:paraId="4C6EC70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7,5</w:t>
            </w:r>
          </w:p>
        </w:tc>
        <w:tc>
          <w:tcPr>
            <w:tcW w:w="804" w:type="dxa"/>
            <w:tcBorders>
              <w:top w:val="nil"/>
              <w:left w:val="nil"/>
              <w:bottom w:val="single" w:sz="4" w:space="0" w:color="auto"/>
              <w:right w:val="single" w:sz="4" w:space="0" w:color="auto"/>
            </w:tcBorders>
            <w:shd w:val="clear" w:color="auto" w:fill="auto"/>
            <w:noWrap/>
            <w:vAlign w:val="center"/>
            <w:hideMark/>
          </w:tcPr>
          <w:p w14:paraId="50D6323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3,7</w:t>
            </w:r>
          </w:p>
        </w:tc>
        <w:tc>
          <w:tcPr>
            <w:tcW w:w="804" w:type="dxa"/>
            <w:tcBorders>
              <w:top w:val="nil"/>
              <w:left w:val="nil"/>
              <w:bottom w:val="single" w:sz="4" w:space="0" w:color="auto"/>
              <w:right w:val="single" w:sz="4" w:space="0" w:color="auto"/>
            </w:tcBorders>
            <w:shd w:val="clear" w:color="auto" w:fill="auto"/>
            <w:noWrap/>
            <w:vAlign w:val="center"/>
            <w:hideMark/>
          </w:tcPr>
          <w:p w14:paraId="4450ECD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3,6</w:t>
            </w:r>
          </w:p>
        </w:tc>
        <w:tc>
          <w:tcPr>
            <w:tcW w:w="804" w:type="dxa"/>
            <w:tcBorders>
              <w:top w:val="nil"/>
              <w:left w:val="nil"/>
              <w:bottom w:val="single" w:sz="4" w:space="0" w:color="auto"/>
              <w:right w:val="single" w:sz="4" w:space="0" w:color="auto"/>
            </w:tcBorders>
            <w:shd w:val="clear" w:color="auto" w:fill="auto"/>
            <w:noWrap/>
            <w:vAlign w:val="center"/>
            <w:hideMark/>
          </w:tcPr>
          <w:p w14:paraId="6F9B399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3,9</w:t>
            </w:r>
          </w:p>
        </w:tc>
        <w:tc>
          <w:tcPr>
            <w:tcW w:w="805" w:type="dxa"/>
            <w:tcBorders>
              <w:top w:val="nil"/>
              <w:left w:val="nil"/>
              <w:bottom w:val="single" w:sz="4" w:space="0" w:color="auto"/>
              <w:right w:val="single" w:sz="4" w:space="0" w:color="auto"/>
            </w:tcBorders>
            <w:shd w:val="clear" w:color="auto" w:fill="auto"/>
            <w:noWrap/>
            <w:vAlign w:val="center"/>
            <w:hideMark/>
          </w:tcPr>
          <w:p w14:paraId="30FE34B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2,9</w:t>
            </w:r>
          </w:p>
        </w:tc>
        <w:tc>
          <w:tcPr>
            <w:tcW w:w="804" w:type="dxa"/>
            <w:tcBorders>
              <w:top w:val="nil"/>
              <w:left w:val="nil"/>
              <w:bottom w:val="single" w:sz="4" w:space="0" w:color="auto"/>
              <w:right w:val="single" w:sz="4" w:space="0" w:color="auto"/>
            </w:tcBorders>
            <w:shd w:val="clear" w:color="auto" w:fill="auto"/>
            <w:noWrap/>
            <w:vAlign w:val="center"/>
            <w:hideMark/>
          </w:tcPr>
          <w:p w14:paraId="233A4ED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3,2</w:t>
            </w:r>
          </w:p>
        </w:tc>
        <w:tc>
          <w:tcPr>
            <w:tcW w:w="804" w:type="dxa"/>
            <w:tcBorders>
              <w:top w:val="nil"/>
              <w:left w:val="nil"/>
              <w:bottom w:val="single" w:sz="4" w:space="0" w:color="auto"/>
              <w:right w:val="single" w:sz="4" w:space="0" w:color="auto"/>
            </w:tcBorders>
            <w:shd w:val="clear" w:color="auto" w:fill="auto"/>
            <w:noWrap/>
            <w:vAlign w:val="center"/>
            <w:hideMark/>
          </w:tcPr>
          <w:p w14:paraId="0EEF649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3,7</w:t>
            </w:r>
          </w:p>
        </w:tc>
        <w:tc>
          <w:tcPr>
            <w:tcW w:w="804" w:type="dxa"/>
            <w:tcBorders>
              <w:top w:val="nil"/>
              <w:left w:val="nil"/>
              <w:bottom w:val="single" w:sz="4" w:space="0" w:color="auto"/>
              <w:right w:val="single" w:sz="4" w:space="0" w:color="auto"/>
            </w:tcBorders>
            <w:shd w:val="clear" w:color="auto" w:fill="auto"/>
            <w:noWrap/>
            <w:vAlign w:val="center"/>
            <w:hideMark/>
          </w:tcPr>
          <w:p w14:paraId="10F2266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3,2</w:t>
            </w:r>
          </w:p>
        </w:tc>
        <w:tc>
          <w:tcPr>
            <w:tcW w:w="804" w:type="dxa"/>
            <w:tcBorders>
              <w:top w:val="nil"/>
              <w:left w:val="nil"/>
              <w:bottom w:val="single" w:sz="4" w:space="0" w:color="auto"/>
              <w:right w:val="single" w:sz="4" w:space="0" w:color="auto"/>
            </w:tcBorders>
            <w:shd w:val="clear" w:color="auto" w:fill="auto"/>
            <w:noWrap/>
            <w:vAlign w:val="center"/>
            <w:hideMark/>
          </w:tcPr>
          <w:p w14:paraId="34B836C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1,6</w:t>
            </w:r>
          </w:p>
        </w:tc>
        <w:tc>
          <w:tcPr>
            <w:tcW w:w="805" w:type="dxa"/>
            <w:tcBorders>
              <w:top w:val="nil"/>
              <w:left w:val="nil"/>
              <w:bottom w:val="single" w:sz="4" w:space="0" w:color="auto"/>
              <w:right w:val="single" w:sz="4" w:space="0" w:color="auto"/>
            </w:tcBorders>
            <w:shd w:val="clear" w:color="auto" w:fill="auto"/>
            <w:noWrap/>
            <w:vAlign w:val="center"/>
            <w:hideMark/>
          </w:tcPr>
          <w:p w14:paraId="1A1B3A3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5,4</w:t>
            </w:r>
          </w:p>
        </w:tc>
        <w:tc>
          <w:tcPr>
            <w:tcW w:w="804" w:type="dxa"/>
            <w:tcBorders>
              <w:top w:val="nil"/>
              <w:left w:val="nil"/>
              <w:bottom w:val="single" w:sz="4" w:space="0" w:color="auto"/>
              <w:right w:val="single" w:sz="4" w:space="0" w:color="auto"/>
            </w:tcBorders>
            <w:shd w:val="clear" w:color="auto" w:fill="auto"/>
            <w:noWrap/>
            <w:vAlign w:val="center"/>
            <w:hideMark/>
          </w:tcPr>
          <w:p w14:paraId="2194ADA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4,7</w:t>
            </w:r>
          </w:p>
        </w:tc>
        <w:tc>
          <w:tcPr>
            <w:tcW w:w="804" w:type="dxa"/>
            <w:tcBorders>
              <w:top w:val="nil"/>
              <w:left w:val="nil"/>
              <w:bottom w:val="single" w:sz="4" w:space="0" w:color="auto"/>
              <w:right w:val="single" w:sz="4" w:space="0" w:color="auto"/>
            </w:tcBorders>
            <w:shd w:val="clear" w:color="auto" w:fill="auto"/>
            <w:noWrap/>
            <w:vAlign w:val="center"/>
            <w:hideMark/>
          </w:tcPr>
          <w:p w14:paraId="5FD7254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1,9</w:t>
            </w:r>
          </w:p>
        </w:tc>
        <w:tc>
          <w:tcPr>
            <w:tcW w:w="804" w:type="dxa"/>
            <w:tcBorders>
              <w:top w:val="nil"/>
              <w:left w:val="nil"/>
              <w:bottom w:val="single" w:sz="4" w:space="0" w:color="auto"/>
              <w:right w:val="single" w:sz="4" w:space="0" w:color="auto"/>
            </w:tcBorders>
            <w:shd w:val="clear" w:color="auto" w:fill="auto"/>
            <w:noWrap/>
            <w:vAlign w:val="center"/>
            <w:hideMark/>
          </w:tcPr>
          <w:p w14:paraId="5BBD07E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0,7</w:t>
            </w:r>
          </w:p>
        </w:tc>
        <w:tc>
          <w:tcPr>
            <w:tcW w:w="804" w:type="dxa"/>
            <w:tcBorders>
              <w:top w:val="nil"/>
              <w:left w:val="nil"/>
              <w:bottom w:val="single" w:sz="4" w:space="0" w:color="auto"/>
              <w:right w:val="single" w:sz="4" w:space="0" w:color="auto"/>
            </w:tcBorders>
            <w:shd w:val="clear" w:color="auto" w:fill="auto"/>
            <w:noWrap/>
            <w:vAlign w:val="center"/>
            <w:hideMark/>
          </w:tcPr>
          <w:p w14:paraId="7DE5FCB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3,1</w:t>
            </w:r>
          </w:p>
        </w:tc>
        <w:tc>
          <w:tcPr>
            <w:tcW w:w="805" w:type="dxa"/>
            <w:tcBorders>
              <w:top w:val="nil"/>
              <w:left w:val="nil"/>
              <w:bottom w:val="single" w:sz="4" w:space="0" w:color="auto"/>
              <w:right w:val="single" w:sz="12" w:space="0" w:color="auto"/>
            </w:tcBorders>
            <w:shd w:val="clear" w:color="auto" w:fill="auto"/>
            <w:noWrap/>
            <w:vAlign w:val="center"/>
            <w:hideMark/>
          </w:tcPr>
          <w:p w14:paraId="7B1CEEB7"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3,5</w:t>
            </w:r>
          </w:p>
        </w:tc>
      </w:tr>
      <w:tr w:rsidR="00B927FE" w:rsidRPr="00B927FE" w14:paraId="17F0E01C" w14:textId="77777777" w:rsidTr="004A7BE6">
        <w:trPr>
          <w:trHeight w:val="54"/>
        </w:trPr>
        <w:tc>
          <w:tcPr>
            <w:tcW w:w="1094" w:type="dxa"/>
            <w:vMerge/>
            <w:tcBorders>
              <w:top w:val="nil"/>
              <w:left w:val="single" w:sz="12" w:space="0" w:color="auto"/>
              <w:bottom w:val="single" w:sz="8" w:space="0" w:color="000000"/>
              <w:right w:val="single" w:sz="4" w:space="0" w:color="auto"/>
            </w:tcBorders>
            <w:vAlign w:val="center"/>
            <w:hideMark/>
          </w:tcPr>
          <w:p w14:paraId="0E2EBDA3"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C2E2DB"/>
            <w:noWrap/>
            <w:vAlign w:val="center"/>
            <w:hideMark/>
          </w:tcPr>
          <w:p w14:paraId="322DD7B4"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2022</w:t>
            </w:r>
          </w:p>
        </w:tc>
        <w:tc>
          <w:tcPr>
            <w:tcW w:w="804" w:type="dxa"/>
            <w:tcBorders>
              <w:top w:val="nil"/>
              <w:left w:val="nil"/>
              <w:bottom w:val="single" w:sz="4" w:space="0" w:color="auto"/>
              <w:right w:val="single" w:sz="4" w:space="0" w:color="auto"/>
            </w:tcBorders>
            <w:shd w:val="clear" w:color="auto" w:fill="auto"/>
            <w:noWrap/>
            <w:vAlign w:val="center"/>
            <w:hideMark/>
          </w:tcPr>
          <w:p w14:paraId="23B8E4C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8,4</w:t>
            </w:r>
          </w:p>
        </w:tc>
        <w:tc>
          <w:tcPr>
            <w:tcW w:w="804" w:type="dxa"/>
            <w:tcBorders>
              <w:top w:val="nil"/>
              <w:left w:val="nil"/>
              <w:bottom w:val="single" w:sz="4" w:space="0" w:color="auto"/>
              <w:right w:val="single" w:sz="4" w:space="0" w:color="auto"/>
            </w:tcBorders>
            <w:shd w:val="clear" w:color="auto" w:fill="auto"/>
            <w:noWrap/>
            <w:vAlign w:val="center"/>
            <w:hideMark/>
          </w:tcPr>
          <w:p w14:paraId="072DEF6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4,7</w:t>
            </w:r>
          </w:p>
        </w:tc>
        <w:tc>
          <w:tcPr>
            <w:tcW w:w="804" w:type="dxa"/>
            <w:tcBorders>
              <w:top w:val="nil"/>
              <w:left w:val="nil"/>
              <w:bottom w:val="single" w:sz="4" w:space="0" w:color="auto"/>
              <w:right w:val="single" w:sz="4" w:space="0" w:color="auto"/>
            </w:tcBorders>
            <w:shd w:val="clear" w:color="auto" w:fill="auto"/>
            <w:noWrap/>
            <w:vAlign w:val="center"/>
            <w:hideMark/>
          </w:tcPr>
          <w:p w14:paraId="084609F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5,3</w:t>
            </w:r>
          </w:p>
        </w:tc>
        <w:tc>
          <w:tcPr>
            <w:tcW w:w="804" w:type="dxa"/>
            <w:tcBorders>
              <w:top w:val="nil"/>
              <w:left w:val="nil"/>
              <w:bottom w:val="single" w:sz="4" w:space="0" w:color="auto"/>
              <w:right w:val="single" w:sz="4" w:space="0" w:color="auto"/>
            </w:tcBorders>
            <w:shd w:val="clear" w:color="auto" w:fill="auto"/>
            <w:noWrap/>
            <w:vAlign w:val="center"/>
            <w:hideMark/>
          </w:tcPr>
          <w:p w14:paraId="01F9813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5,4</w:t>
            </w:r>
          </w:p>
        </w:tc>
        <w:tc>
          <w:tcPr>
            <w:tcW w:w="805" w:type="dxa"/>
            <w:tcBorders>
              <w:top w:val="nil"/>
              <w:left w:val="nil"/>
              <w:bottom w:val="single" w:sz="4" w:space="0" w:color="auto"/>
              <w:right w:val="single" w:sz="4" w:space="0" w:color="auto"/>
            </w:tcBorders>
            <w:shd w:val="clear" w:color="auto" w:fill="auto"/>
            <w:noWrap/>
            <w:vAlign w:val="center"/>
            <w:hideMark/>
          </w:tcPr>
          <w:p w14:paraId="5BDE895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7,1</w:t>
            </w:r>
          </w:p>
        </w:tc>
        <w:tc>
          <w:tcPr>
            <w:tcW w:w="804" w:type="dxa"/>
            <w:tcBorders>
              <w:top w:val="nil"/>
              <w:left w:val="nil"/>
              <w:bottom w:val="single" w:sz="4" w:space="0" w:color="auto"/>
              <w:right w:val="single" w:sz="4" w:space="0" w:color="auto"/>
            </w:tcBorders>
            <w:shd w:val="clear" w:color="auto" w:fill="auto"/>
            <w:noWrap/>
            <w:vAlign w:val="center"/>
            <w:hideMark/>
          </w:tcPr>
          <w:p w14:paraId="0348E76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3,3</w:t>
            </w:r>
          </w:p>
        </w:tc>
        <w:tc>
          <w:tcPr>
            <w:tcW w:w="804" w:type="dxa"/>
            <w:tcBorders>
              <w:top w:val="nil"/>
              <w:left w:val="nil"/>
              <w:bottom w:val="single" w:sz="4" w:space="0" w:color="auto"/>
              <w:right w:val="single" w:sz="4" w:space="0" w:color="auto"/>
            </w:tcBorders>
            <w:shd w:val="clear" w:color="auto" w:fill="auto"/>
            <w:noWrap/>
            <w:vAlign w:val="center"/>
            <w:hideMark/>
          </w:tcPr>
          <w:p w14:paraId="1EE2BF8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3,2</w:t>
            </w:r>
          </w:p>
        </w:tc>
        <w:tc>
          <w:tcPr>
            <w:tcW w:w="804" w:type="dxa"/>
            <w:tcBorders>
              <w:top w:val="nil"/>
              <w:left w:val="nil"/>
              <w:bottom w:val="single" w:sz="4" w:space="0" w:color="auto"/>
              <w:right w:val="single" w:sz="4" w:space="0" w:color="auto"/>
            </w:tcBorders>
            <w:shd w:val="clear" w:color="auto" w:fill="auto"/>
            <w:noWrap/>
            <w:vAlign w:val="center"/>
            <w:hideMark/>
          </w:tcPr>
          <w:p w14:paraId="7BDB493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3,5</w:t>
            </w:r>
          </w:p>
        </w:tc>
        <w:tc>
          <w:tcPr>
            <w:tcW w:w="804" w:type="dxa"/>
            <w:tcBorders>
              <w:top w:val="nil"/>
              <w:left w:val="nil"/>
              <w:bottom w:val="single" w:sz="4" w:space="0" w:color="auto"/>
              <w:right w:val="single" w:sz="4" w:space="0" w:color="auto"/>
            </w:tcBorders>
            <w:shd w:val="clear" w:color="auto" w:fill="auto"/>
            <w:noWrap/>
            <w:vAlign w:val="center"/>
            <w:hideMark/>
          </w:tcPr>
          <w:p w14:paraId="2695587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1,8</w:t>
            </w:r>
          </w:p>
        </w:tc>
        <w:tc>
          <w:tcPr>
            <w:tcW w:w="805" w:type="dxa"/>
            <w:tcBorders>
              <w:top w:val="nil"/>
              <w:left w:val="nil"/>
              <w:bottom w:val="single" w:sz="4" w:space="0" w:color="auto"/>
              <w:right w:val="single" w:sz="4" w:space="0" w:color="auto"/>
            </w:tcBorders>
            <w:shd w:val="clear" w:color="auto" w:fill="auto"/>
            <w:noWrap/>
            <w:vAlign w:val="center"/>
            <w:hideMark/>
          </w:tcPr>
          <w:p w14:paraId="4A6EB23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7,0</w:t>
            </w:r>
          </w:p>
        </w:tc>
        <w:tc>
          <w:tcPr>
            <w:tcW w:w="804" w:type="dxa"/>
            <w:tcBorders>
              <w:top w:val="nil"/>
              <w:left w:val="nil"/>
              <w:bottom w:val="single" w:sz="4" w:space="0" w:color="auto"/>
              <w:right w:val="single" w:sz="4" w:space="0" w:color="auto"/>
            </w:tcBorders>
            <w:shd w:val="clear" w:color="auto" w:fill="auto"/>
            <w:noWrap/>
            <w:vAlign w:val="center"/>
            <w:hideMark/>
          </w:tcPr>
          <w:p w14:paraId="13B755D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6,7</w:t>
            </w:r>
          </w:p>
        </w:tc>
        <w:tc>
          <w:tcPr>
            <w:tcW w:w="804" w:type="dxa"/>
            <w:tcBorders>
              <w:top w:val="nil"/>
              <w:left w:val="nil"/>
              <w:bottom w:val="single" w:sz="4" w:space="0" w:color="auto"/>
              <w:right w:val="single" w:sz="4" w:space="0" w:color="auto"/>
            </w:tcBorders>
            <w:shd w:val="clear" w:color="auto" w:fill="auto"/>
            <w:noWrap/>
            <w:vAlign w:val="center"/>
            <w:hideMark/>
          </w:tcPr>
          <w:p w14:paraId="7B65415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4,0</w:t>
            </w:r>
          </w:p>
        </w:tc>
        <w:tc>
          <w:tcPr>
            <w:tcW w:w="804" w:type="dxa"/>
            <w:tcBorders>
              <w:top w:val="nil"/>
              <w:left w:val="nil"/>
              <w:bottom w:val="single" w:sz="4" w:space="0" w:color="auto"/>
              <w:right w:val="single" w:sz="4" w:space="0" w:color="auto"/>
            </w:tcBorders>
            <w:shd w:val="clear" w:color="auto" w:fill="auto"/>
            <w:noWrap/>
            <w:vAlign w:val="center"/>
            <w:hideMark/>
          </w:tcPr>
          <w:p w14:paraId="7687B84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0,9</w:t>
            </w:r>
          </w:p>
        </w:tc>
        <w:tc>
          <w:tcPr>
            <w:tcW w:w="804" w:type="dxa"/>
            <w:tcBorders>
              <w:top w:val="nil"/>
              <w:left w:val="nil"/>
              <w:bottom w:val="single" w:sz="4" w:space="0" w:color="auto"/>
              <w:right w:val="single" w:sz="4" w:space="0" w:color="auto"/>
            </w:tcBorders>
            <w:shd w:val="clear" w:color="auto" w:fill="auto"/>
            <w:noWrap/>
            <w:vAlign w:val="center"/>
            <w:hideMark/>
          </w:tcPr>
          <w:p w14:paraId="4FB6A08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2,5</w:t>
            </w:r>
          </w:p>
        </w:tc>
        <w:tc>
          <w:tcPr>
            <w:tcW w:w="805" w:type="dxa"/>
            <w:tcBorders>
              <w:top w:val="nil"/>
              <w:left w:val="nil"/>
              <w:bottom w:val="single" w:sz="4" w:space="0" w:color="auto"/>
              <w:right w:val="single" w:sz="12" w:space="0" w:color="auto"/>
            </w:tcBorders>
            <w:shd w:val="clear" w:color="auto" w:fill="auto"/>
            <w:noWrap/>
            <w:vAlign w:val="center"/>
            <w:hideMark/>
          </w:tcPr>
          <w:p w14:paraId="2C38BE7F"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4,6</w:t>
            </w:r>
          </w:p>
        </w:tc>
      </w:tr>
      <w:tr w:rsidR="00B927FE" w:rsidRPr="00B927FE" w14:paraId="34125778" w14:textId="77777777" w:rsidTr="004A7BE6">
        <w:trPr>
          <w:trHeight w:val="54"/>
        </w:trPr>
        <w:tc>
          <w:tcPr>
            <w:tcW w:w="1094" w:type="dxa"/>
            <w:vMerge/>
            <w:tcBorders>
              <w:top w:val="nil"/>
              <w:left w:val="single" w:sz="12" w:space="0" w:color="auto"/>
              <w:bottom w:val="single" w:sz="12" w:space="0" w:color="auto"/>
              <w:right w:val="single" w:sz="4" w:space="0" w:color="auto"/>
            </w:tcBorders>
            <w:vAlign w:val="center"/>
            <w:hideMark/>
          </w:tcPr>
          <w:p w14:paraId="0ED26113"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12" w:space="0" w:color="auto"/>
              <w:right w:val="single" w:sz="4" w:space="0" w:color="auto"/>
            </w:tcBorders>
            <w:shd w:val="clear" w:color="000000" w:fill="C2E2DB"/>
            <w:noWrap/>
            <w:vAlign w:val="center"/>
            <w:hideMark/>
          </w:tcPr>
          <w:p w14:paraId="37E2D3A5"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2023</w:t>
            </w:r>
          </w:p>
        </w:tc>
        <w:tc>
          <w:tcPr>
            <w:tcW w:w="804" w:type="dxa"/>
            <w:tcBorders>
              <w:top w:val="nil"/>
              <w:left w:val="nil"/>
              <w:bottom w:val="single" w:sz="12" w:space="0" w:color="auto"/>
              <w:right w:val="single" w:sz="4" w:space="0" w:color="auto"/>
            </w:tcBorders>
            <w:shd w:val="clear" w:color="auto" w:fill="auto"/>
            <w:noWrap/>
            <w:vAlign w:val="center"/>
            <w:hideMark/>
          </w:tcPr>
          <w:p w14:paraId="13DE2E3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8,1</w:t>
            </w:r>
          </w:p>
        </w:tc>
        <w:tc>
          <w:tcPr>
            <w:tcW w:w="804" w:type="dxa"/>
            <w:tcBorders>
              <w:top w:val="nil"/>
              <w:left w:val="nil"/>
              <w:bottom w:val="single" w:sz="12" w:space="0" w:color="auto"/>
              <w:right w:val="single" w:sz="4" w:space="0" w:color="auto"/>
            </w:tcBorders>
            <w:shd w:val="clear" w:color="auto" w:fill="auto"/>
            <w:noWrap/>
            <w:vAlign w:val="center"/>
            <w:hideMark/>
          </w:tcPr>
          <w:p w14:paraId="4D9EF20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4,3</w:t>
            </w:r>
          </w:p>
        </w:tc>
        <w:tc>
          <w:tcPr>
            <w:tcW w:w="804" w:type="dxa"/>
            <w:tcBorders>
              <w:top w:val="nil"/>
              <w:left w:val="nil"/>
              <w:bottom w:val="single" w:sz="12" w:space="0" w:color="auto"/>
              <w:right w:val="single" w:sz="4" w:space="0" w:color="auto"/>
            </w:tcBorders>
            <w:shd w:val="clear" w:color="auto" w:fill="auto"/>
            <w:noWrap/>
            <w:vAlign w:val="center"/>
            <w:hideMark/>
          </w:tcPr>
          <w:p w14:paraId="65B8DE4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6,9</w:t>
            </w:r>
          </w:p>
        </w:tc>
        <w:tc>
          <w:tcPr>
            <w:tcW w:w="804" w:type="dxa"/>
            <w:tcBorders>
              <w:top w:val="nil"/>
              <w:left w:val="nil"/>
              <w:bottom w:val="single" w:sz="12" w:space="0" w:color="auto"/>
              <w:right w:val="single" w:sz="4" w:space="0" w:color="auto"/>
            </w:tcBorders>
            <w:shd w:val="clear" w:color="auto" w:fill="auto"/>
            <w:noWrap/>
            <w:vAlign w:val="center"/>
            <w:hideMark/>
          </w:tcPr>
          <w:p w14:paraId="0033FF7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6,0</w:t>
            </w:r>
          </w:p>
        </w:tc>
        <w:tc>
          <w:tcPr>
            <w:tcW w:w="805" w:type="dxa"/>
            <w:tcBorders>
              <w:top w:val="nil"/>
              <w:left w:val="nil"/>
              <w:bottom w:val="single" w:sz="12" w:space="0" w:color="auto"/>
              <w:right w:val="single" w:sz="4" w:space="0" w:color="auto"/>
            </w:tcBorders>
            <w:shd w:val="clear" w:color="auto" w:fill="auto"/>
            <w:noWrap/>
            <w:vAlign w:val="center"/>
            <w:hideMark/>
          </w:tcPr>
          <w:p w14:paraId="65DB6DF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5,0</w:t>
            </w:r>
          </w:p>
        </w:tc>
        <w:tc>
          <w:tcPr>
            <w:tcW w:w="804" w:type="dxa"/>
            <w:tcBorders>
              <w:top w:val="nil"/>
              <w:left w:val="nil"/>
              <w:bottom w:val="single" w:sz="12" w:space="0" w:color="auto"/>
              <w:right w:val="single" w:sz="4" w:space="0" w:color="auto"/>
            </w:tcBorders>
            <w:shd w:val="clear" w:color="auto" w:fill="auto"/>
            <w:noWrap/>
            <w:vAlign w:val="center"/>
            <w:hideMark/>
          </w:tcPr>
          <w:p w14:paraId="2E1757E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3,1</w:t>
            </w:r>
          </w:p>
        </w:tc>
        <w:tc>
          <w:tcPr>
            <w:tcW w:w="804" w:type="dxa"/>
            <w:tcBorders>
              <w:top w:val="nil"/>
              <w:left w:val="nil"/>
              <w:bottom w:val="single" w:sz="12" w:space="0" w:color="auto"/>
              <w:right w:val="single" w:sz="4" w:space="0" w:color="auto"/>
            </w:tcBorders>
            <w:shd w:val="clear" w:color="auto" w:fill="auto"/>
            <w:noWrap/>
            <w:vAlign w:val="center"/>
            <w:hideMark/>
          </w:tcPr>
          <w:p w14:paraId="50933A3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2,6</w:t>
            </w:r>
          </w:p>
        </w:tc>
        <w:tc>
          <w:tcPr>
            <w:tcW w:w="804" w:type="dxa"/>
            <w:tcBorders>
              <w:top w:val="nil"/>
              <w:left w:val="nil"/>
              <w:bottom w:val="single" w:sz="12" w:space="0" w:color="auto"/>
              <w:right w:val="single" w:sz="4" w:space="0" w:color="auto"/>
            </w:tcBorders>
            <w:shd w:val="clear" w:color="auto" w:fill="auto"/>
            <w:noWrap/>
            <w:vAlign w:val="center"/>
            <w:hideMark/>
          </w:tcPr>
          <w:p w14:paraId="3B2D23E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4,2</w:t>
            </w:r>
          </w:p>
        </w:tc>
        <w:tc>
          <w:tcPr>
            <w:tcW w:w="804" w:type="dxa"/>
            <w:tcBorders>
              <w:top w:val="nil"/>
              <w:left w:val="nil"/>
              <w:bottom w:val="single" w:sz="12" w:space="0" w:color="auto"/>
              <w:right w:val="single" w:sz="4" w:space="0" w:color="auto"/>
            </w:tcBorders>
            <w:shd w:val="clear" w:color="auto" w:fill="auto"/>
            <w:noWrap/>
            <w:vAlign w:val="center"/>
            <w:hideMark/>
          </w:tcPr>
          <w:p w14:paraId="4DC7192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3,0</w:t>
            </w:r>
          </w:p>
        </w:tc>
        <w:tc>
          <w:tcPr>
            <w:tcW w:w="805" w:type="dxa"/>
            <w:tcBorders>
              <w:top w:val="nil"/>
              <w:left w:val="nil"/>
              <w:bottom w:val="single" w:sz="12" w:space="0" w:color="auto"/>
              <w:right w:val="single" w:sz="4" w:space="0" w:color="auto"/>
            </w:tcBorders>
            <w:shd w:val="clear" w:color="auto" w:fill="auto"/>
            <w:noWrap/>
            <w:vAlign w:val="center"/>
            <w:hideMark/>
          </w:tcPr>
          <w:p w14:paraId="6A1DBF6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6,6</w:t>
            </w:r>
          </w:p>
        </w:tc>
        <w:tc>
          <w:tcPr>
            <w:tcW w:w="804" w:type="dxa"/>
            <w:tcBorders>
              <w:top w:val="nil"/>
              <w:left w:val="nil"/>
              <w:bottom w:val="single" w:sz="12" w:space="0" w:color="auto"/>
              <w:right w:val="single" w:sz="4" w:space="0" w:color="auto"/>
            </w:tcBorders>
            <w:shd w:val="clear" w:color="auto" w:fill="auto"/>
            <w:noWrap/>
            <w:vAlign w:val="center"/>
            <w:hideMark/>
          </w:tcPr>
          <w:p w14:paraId="12445CB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7,8</w:t>
            </w:r>
          </w:p>
        </w:tc>
        <w:tc>
          <w:tcPr>
            <w:tcW w:w="804" w:type="dxa"/>
            <w:tcBorders>
              <w:top w:val="nil"/>
              <w:left w:val="nil"/>
              <w:bottom w:val="single" w:sz="12" w:space="0" w:color="auto"/>
              <w:right w:val="single" w:sz="4" w:space="0" w:color="auto"/>
            </w:tcBorders>
            <w:shd w:val="clear" w:color="auto" w:fill="auto"/>
            <w:noWrap/>
            <w:vAlign w:val="center"/>
            <w:hideMark/>
          </w:tcPr>
          <w:p w14:paraId="63A47AF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3,1</w:t>
            </w:r>
          </w:p>
        </w:tc>
        <w:tc>
          <w:tcPr>
            <w:tcW w:w="804" w:type="dxa"/>
            <w:tcBorders>
              <w:top w:val="nil"/>
              <w:left w:val="nil"/>
              <w:bottom w:val="single" w:sz="12" w:space="0" w:color="auto"/>
              <w:right w:val="single" w:sz="4" w:space="0" w:color="auto"/>
            </w:tcBorders>
            <w:shd w:val="clear" w:color="auto" w:fill="auto"/>
            <w:noWrap/>
            <w:vAlign w:val="center"/>
            <w:hideMark/>
          </w:tcPr>
          <w:p w14:paraId="380F3ED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1,3</w:t>
            </w:r>
          </w:p>
        </w:tc>
        <w:tc>
          <w:tcPr>
            <w:tcW w:w="804" w:type="dxa"/>
            <w:tcBorders>
              <w:top w:val="nil"/>
              <w:left w:val="nil"/>
              <w:bottom w:val="single" w:sz="12" w:space="0" w:color="auto"/>
              <w:right w:val="single" w:sz="4" w:space="0" w:color="auto"/>
            </w:tcBorders>
            <w:shd w:val="clear" w:color="auto" w:fill="auto"/>
            <w:noWrap/>
            <w:vAlign w:val="center"/>
            <w:hideMark/>
          </w:tcPr>
          <w:p w14:paraId="3BE9718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2,8</w:t>
            </w:r>
          </w:p>
        </w:tc>
        <w:tc>
          <w:tcPr>
            <w:tcW w:w="805" w:type="dxa"/>
            <w:tcBorders>
              <w:top w:val="nil"/>
              <w:left w:val="nil"/>
              <w:bottom w:val="single" w:sz="12" w:space="0" w:color="auto"/>
              <w:right w:val="single" w:sz="12" w:space="0" w:color="auto"/>
            </w:tcBorders>
            <w:shd w:val="clear" w:color="auto" w:fill="auto"/>
            <w:noWrap/>
            <w:vAlign w:val="center"/>
            <w:hideMark/>
          </w:tcPr>
          <w:p w14:paraId="05B60CB6"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4,6</w:t>
            </w:r>
          </w:p>
        </w:tc>
      </w:tr>
      <w:tr w:rsidR="00B927FE" w:rsidRPr="00B927FE" w14:paraId="7F55FDF1" w14:textId="77777777" w:rsidTr="004A7BE6">
        <w:trPr>
          <w:trHeight w:val="54"/>
        </w:trPr>
        <w:tc>
          <w:tcPr>
            <w:tcW w:w="1094" w:type="dxa"/>
            <w:vMerge w:val="restart"/>
            <w:tcBorders>
              <w:top w:val="single" w:sz="12" w:space="0" w:color="auto"/>
              <w:left w:val="single" w:sz="12" w:space="0" w:color="auto"/>
              <w:bottom w:val="single" w:sz="8" w:space="0" w:color="000000"/>
              <w:right w:val="single" w:sz="4" w:space="0" w:color="auto"/>
            </w:tcBorders>
            <w:shd w:val="clear" w:color="000000" w:fill="E2F1EE"/>
            <w:textDirection w:val="btLr"/>
            <w:vAlign w:val="center"/>
            <w:hideMark/>
          </w:tcPr>
          <w:p w14:paraId="3EB256A8"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Vymáhání daňových nedoplatků</w:t>
            </w:r>
          </w:p>
        </w:tc>
        <w:tc>
          <w:tcPr>
            <w:tcW w:w="804" w:type="dxa"/>
            <w:tcBorders>
              <w:top w:val="single" w:sz="12" w:space="0" w:color="auto"/>
              <w:left w:val="nil"/>
              <w:bottom w:val="single" w:sz="4" w:space="0" w:color="auto"/>
              <w:right w:val="single" w:sz="4" w:space="0" w:color="auto"/>
            </w:tcBorders>
            <w:shd w:val="clear" w:color="000000" w:fill="E2F1EE"/>
            <w:noWrap/>
            <w:vAlign w:val="center"/>
            <w:hideMark/>
          </w:tcPr>
          <w:p w14:paraId="5AB3507C"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2018</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2C237CA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439</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6871600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317</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607D5B6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328</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4427A7F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263</w:t>
            </w:r>
          </w:p>
        </w:tc>
        <w:tc>
          <w:tcPr>
            <w:tcW w:w="805" w:type="dxa"/>
            <w:tcBorders>
              <w:top w:val="single" w:sz="12" w:space="0" w:color="auto"/>
              <w:left w:val="nil"/>
              <w:bottom w:val="single" w:sz="4" w:space="0" w:color="auto"/>
              <w:right w:val="single" w:sz="4" w:space="0" w:color="auto"/>
            </w:tcBorders>
            <w:shd w:val="clear" w:color="auto" w:fill="auto"/>
            <w:noWrap/>
            <w:vAlign w:val="center"/>
            <w:hideMark/>
          </w:tcPr>
          <w:p w14:paraId="4062FDF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596</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30B549F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341</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35E357C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337</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6DAB5F5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331</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62752B4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381</w:t>
            </w:r>
          </w:p>
        </w:tc>
        <w:tc>
          <w:tcPr>
            <w:tcW w:w="805" w:type="dxa"/>
            <w:tcBorders>
              <w:top w:val="single" w:sz="12" w:space="0" w:color="auto"/>
              <w:left w:val="nil"/>
              <w:bottom w:val="single" w:sz="4" w:space="0" w:color="auto"/>
              <w:right w:val="single" w:sz="4" w:space="0" w:color="auto"/>
            </w:tcBorders>
            <w:shd w:val="clear" w:color="auto" w:fill="auto"/>
            <w:noWrap/>
            <w:vAlign w:val="center"/>
            <w:hideMark/>
          </w:tcPr>
          <w:p w14:paraId="44091B5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278</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2C6A40A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388</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033E358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381</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0498827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234</w:t>
            </w:r>
          </w:p>
        </w:tc>
        <w:tc>
          <w:tcPr>
            <w:tcW w:w="804" w:type="dxa"/>
            <w:tcBorders>
              <w:top w:val="single" w:sz="12" w:space="0" w:color="auto"/>
              <w:left w:val="nil"/>
              <w:bottom w:val="single" w:sz="4" w:space="0" w:color="auto"/>
              <w:right w:val="single" w:sz="4" w:space="0" w:color="auto"/>
            </w:tcBorders>
            <w:shd w:val="clear" w:color="auto" w:fill="auto"/>
            <w:noWrap/>
            <w:vAlign w:val="center"/>
            <w:hideMark/>
          </w:tcPr>
          <w:p w14:paraId="69D1E3D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291</w:t>
            </w:r>
          </w:p>
        </w:tc>
        <w:tc>
          <w:tcPr>
            <w:tcW w:w="805" w:type="dxa"/>
            <w:tcBorders>
              <w:top w:val="single" w:sz="12" w:space="0" w:color="auto"/>
              <w:left w:val="nil"/>
              <w:bottom w:val="single" w:sz="4" w:space="0" w:color="auto"/>
              <w:right w:val="single" w:sz="12" w:space="0" w:color="auto"/>
            </w:tcBorders>
            <w:shd w:val="clear" w:color="auto" w:fill="auto"/>
            <w:noWrap/>
            <w:vAlign w:val="center"/>
            <w:hideMark/>
          </w:tcPr>
          <w:p w14:paraId="341E0942"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350</w:t>
            </w:r>
          </w:p>
        </w:tc>
      </w:tr>
      <w:tr w:rsidR="00B927FE" w:rsidRPr="00B927FE" w14:paraId="168F11C6" w14:textId="77777777" w:rsidTr="004A7BE6">
        <w:trPr>
          <w:trHeight w:val="121"/>
        </w:trPr>
        <w:tc>
          <w:tcPr>
            <w:tcW w:w="1094" w:type="dxa"/>
            <w:vMerge/>
            <w:tcBorders>
              <w:top w:val="nil"/>
              <w:left w:val="single" w:sz="12" w:space="0" w:color="auto"/>
              <w:bottom w:val="single" w:sz="8" w:space="0" w:color="000000"/>
              <w:right w:val="single" w:sz="4" w:space="0" w:color="auto"/>
            </w:tcBorders>
            <w:vAlign w:val="center"/>
            <w:hideMark/>
          </w:tcPr>
          <w:p w14:paraId="20FC0602"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E2F1EE"/>
            <w:noWrap/>
            <w:vAlign w:val="center"/>
            <w:hideMark/>
          </w:tcPr>
          <w:p w14:paraId="7F7F2D26"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2019</w:t>
            </w:r>
          </w:p>
        </w:tc>
        <w:tc>
          <w:tcPr>
            <w:tcW w:w="804" w:type="dxa"/>
            <w:tcBorders>
              <w:top w:val="nil"/>
              <w:left w:val="nil"/>
              <w:bottom w:val="single" w:sz="4" w:space="0" w:color="auto"/>
              <w:right w:val="single" w:sz="4" w:space="0" w:color="auto"/>
            </w:tcBorders>
            <w:shd w:val="clear" w:color="auto" w:fill="auto"/>
            <w:noWrap/>
            <w:vAlign w:val="center"/>
            <w:hideMark/>
          </w:tcPr>
          <w:p w14:paraId="4CF4145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459</w:t>
            </w:r>
          </w:p>
        </w:tc>
        <w:tc>
          <w:tcPr>
            <w:tcW w:w="804" w:type="dxa"/>
            <w:tcBorders>
              <w:top w:val="nil"/>
              <w:left w:val="nil"/>
              <w:bottom w:val="single" w:sz="4" w:space="0" w:color="auto"/>
              <w:right w:val="single" w:sz="4" w:space="0" w:color="auto"/>
            </w:tcBorders>
            <w:shd w:val="clear" w:color="auto" w:fill="auto"/>
            <w:noWrap/>
            <w:vAlign w:val="center"/>
            <w:hideMark/>
          </w:tcPr>
          <w:p w14:paraId="4ABE6D3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368</w:t>
            </w:r>
          </w:p>
        </w:tc>
        <w:tc>
          <w:tcPr>
            <w:tcW w:w="804" w:type="dxa"/>
            <w:tcBorders>
              <w:top w:val="nil"/>
              <w:left w:val="nil"/>
              <w:bottom w:val="single" w:sz="4" w:space="0" w:color="auto"/>
              <w:right w:val="single" w:sz="4" w:space="0" w:color="auto"/>
            </w:tcBorders>
            <w:shd w:val="clear" w:color="auto" w:fill="auto"/>
            <w:noWrap/>
            <w:vAlign w:val="center"/>
            <w:hideMark/>
          </w:tcPr>
          <w:p w14:paraId="06715FC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331</w:t>
            </w:r>
          </w:p>
        </w:tc>
        <w:tc>
          <w:tcPr>
            <w:tcW w:w="804" w:type="dxa"/>
            <w:tcBorders>
              <w:top w:val="nil"/>
              <w:left w:val="nil"/>
              <w:bottom w:val="single" w:sz="4" w:space="0" w:color="auto"/>
              <w:right w:val="single" w:sz="4" w:space="0" w:color="auto"/>
            </w:tcBorders>
            <w:shd w:val="clear" w:color="auto" w:fill="auto"/>
            <w:noWrap/>
            <w:vAlign w:val="center"/>
            <w:hideMark/>
          </w:tcPr>
          <w:p w14:paraId="46742BF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259</w:t>
            </w:r>
          </w:p>
        </w:tc>
        <w:tc>
          <w:tcPr>
            <w:tcW w:w="805" w:type="dxa"/>
            <w:tcBorders>
              <w:top w:val="nil"/>
              <w:left w:val="nil"/>
              <w:bottom w:val="single" w:sz="4" w:space="0" w:color="auto"/>
              <w:right w:val="single" w:sz="4" w:space="0" w:color="auto"/>
            </w:tcBorders>
            <w:shd w:val="clear" w:color="auto" w:fill="auto"/>
            <w:noWrap/>
            <w:vAlign w:val="center"/>
            <w:hideMark/>
          </w:tcPr>
          <w:p w14:paraId="71C8427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643</w:t>
            </w:r>
          </w:p>
        </w:tc>
        <w:tc>
          <w:tcPr>
            <w:tcW w:w="804" w:type="dxa"/>
            <w:tcBorders>
              <w:top w:val="nil"/>
              <w:left w:val="nil"/>
              <w:bottom w:val="single" w:sz="4" w:space="0" w:color="auto"/>
              <w:right w:val="single" w:sz="4" w:space="0" w:color="auto"/>
            </w:tcBorders>
            <w:shd w:val="clear" w:color="auto" w:fill="auto"/>
            <w:noWrap/>
            <w:vAlign w:val="center"/>
            <w:hideMark/>
          </w:tcPr>
          <w:p w14:paraId="2AAA492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342</w:t>
            </w:r>
          </w:p>
        </w:tc>
        <w:tc>
          <w:tcPr>
            <w:tcW w:w="804" w:type="dxa"/>
            <w:tcBorders>
              <w:top w:val="nil"/>
              <w:left w:val="nil"/>
              <w:bottom w:val="single" w:sz="4" w:space="0" w:color="auto"/>
              <w:right w:val="single" w:sz="4" w:space="0" w:color="auto"/>
            </w:tcBorders>
            <w:shd w:val="clear" w:color="auto" w:fill="auto"/>
            <w:noWrap/>
            <w:vAlign w:val="center"/>
            <w:hideMark/>
          </w:tcPr>
          <w:p w14:paraId="61C58ED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337</w:t>
            </w:r>
          </w:p>
        </w:tc>
        <w:tc>
          <w:tcPr>
            <w:tcW w:w="804" w:type="dxa"/>
            <w:tcBorders>
              <w:top w:val="nil"/>
              <w:left w:val="nil"/>
              <w:bottom w:val="single" w:sz="4" w:space="0" w:color="auto"/>
              <w:right w:val="single" w:sz="4" w:space="0" w:color="auto"/>
            </w:tcBorders>
            <w:shd w:val="clear" w:color="auto" w:fill="auto"/>
            <w:noWrap/>
            <w:vAlign w:val="center"/>
            <w:hideMark/>
          </w:tcPr>
          <w:p w14:paraId="730501D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430</w:t>
            </w:r>
          </w:p>
        </w:tc>
        <w:tc>
          <w:tcPr>
            <w:tcW w:w="804" w:type="dxa"/>
            <w:tcBorders>
              <w:top w:val="nil"/>
              <w:left w:val="nil"/>
              <w:bottom w:val="single" w:sz="4" w:space="0" w:color="auto"/>
              <w:right w:val="single" w:sz="4" w:space="0" w:color="auto"/>
            </w:tcBorders>
            <w:shd w:val="clear" w:color="auto" w:fill="auto"/>
            <w:noWrap/>
            <w:vAlign w:val="center"/>
            <w:hideMark/>
          </w:tcPr>
          <w:p w14:paraId="2223FF4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401</w:t>
            </w:r>
          </w:p>
        </w:tc>
        <w:tc>
          <w:tcPr>
            <w:tcW w:w="805" w:type="dxa"/>
            <w:tcBorders>
              <w:top w:val="nil"/>
              <w:left w:val="nil"/>
              <w:bottom w:val="single" w:sz="4" w:space="0" w:color="auto"/>
              <w:right w:val="single" w:sz="4" w:space="0" w:color="auto"/>
            </w:tcBorders>
            <w:shd w:val="clear" w:color="auto" w:fill="auto"/>
            <w:noWrap/>
            <w:vAlign w:val="center"/>
            <w:hideMark/>
          </w:tcPr>
          <w:p w14:paraId="5A060C5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296</w:t>
            </w:r>
          </w:p>
        </w:tc>
        <w:tc>
          <w:tcPr>
            <w:tcW w:w="804" w:type="dxa"/>
            <w:tcBorders>
              <w:top w:val="nil"/>
              <w:left w:val="nil"/>
              <w:bottom w:val="single" w:sz="4" w:space="0" w:color="auto"/>
              <w:right w:val="single" w:sz="4" w:space="0" w:color="auto"/>
            </w:tcBorders>
            <w:shd w:val="clear" w:color="auto" w:fill="auto"/>
            <w:noWrap/>
            <w:vAlign w:val="center"/>
            <w:hideMark/>
          </w:tcPr>
          <w:p w14:paraId="3514E1A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453</w:t>
            </w:r>
          </w:p>
        </w:tc>
        <w:tc>
          <w:tcPr>
            <w:tcW w:w="804" w:type="dxa"/>
            <w:tcBorders>
              <w:top w:val="nil"/>
              <w:left w:val="nil"/>
              <w:bottom w:val="single" w:sz="4" w:space="0" w:color="auto"/>
              <w:right w:val="single" w:sz="4" w:space="0" w:color="auto"/>
            </w:tcBorders>
            <w:shd w:val="clear" w:color="auto" w:fill="auto"/>
            <w:noWrap/>
            <w:vAlign w:val="center"/>
            <w:hideMark/>
          </w:tcPr>
          <w:p w14:paraId="7D22121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354</w:t>
            </w:r>
          </w:p>
        </w:tc>
        <w:tc>
          <w:tcPr>
            <w:tcW w:w="804" w:type="dxa"/>
            <w:tcBorders>
              <w:top w:val="nil"/>
              <w:left w:val="nil"/>
              <w:bottom w:val="single" w:sz="4" w:space="0" w:color="auto"/>
              <w:right w:val="single" w:sz="4" w:space="0" w:color="auto"/>
            </w:tcBorders>
            <w:shd w:val="clear" w:color="auto" w:fill="auto"/>
            <w:noWrap/>
            <w:vAlign w:val="center"/>
            <w:hideMark/>
          </w:tcPr>
          <w:p w14:paraId="1F1D0CA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271</w:t>
            </w:r>
          </w:p>
        </w:tc>
        <w:tc>
          <w:tcPr>
            <w:tcW w:w="804" w:type="dxa"/>
            <w:tcBorders>
              <w:top w:val="nil"/>
              <w:left w:val="nil"/>
              <w:bottom w:val="single" w:sz="4" w:space="0" w:color="auto"/>
              <w:right w:val="single" w:sz="4" w:space="0" w:color="auto"/>
            </w:tcBorders>
            <w:shd w:val="clear" w:color="auto" w:fill="auto"/>
            <w:noWrap/>
            <w:vAlign w:val="center"/>
            <w:hideMark/>
          </w:tcPr>
          <w:p w14:paraId="387BCFF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348</w:t>
            </w:r>
          </w:p>
        </w:tc>
        <w:tc>
          <w:tcPr>
            <w:tcW w:w="805" w:type="dxa"/>
            <w:tcBorders>
              <w:top w:val="nil"/>
              <w:left w:val="nil"/>
              <w:bottom w:val="single" w:sz="4" w:space="0" w:color="auto"/>
              <w:right w:val="single" w:sz="12" w:space="0" w:color="auto"/>
            </w:tcBorders>
            <w:shd w:val="clear" w:color="auto" w:fill="auto"/>
            <w:noWrap/>
            <w:vAlign w:val="center"/>
            <w:hideMark/>
          </w:tcPr>
          <w:p w14:paraId="00E61A64"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378</w:t>
            </w:r>
          </w:p>
        </w:tc>
      </w:tr>
      <w:tr w:rsidR="00B927FE" w:rsidRPr="00B927FE" w14:paraId="40E99AFD" w14:textId="77777777" w:rsidTr="004A7BE6">
        <w:trPr>
          <w:trHeight w:val="54"/>
        </w:trPr>
        <w:tc>
          <w:tcPr>
            <w:tcW w:w="1094" w:type="dxa"/>
            <w:vMerge/>
            <w:tcBorders>
              <w:top w:val="nil"/>
              <w:left w:val="single" w:sz="12" w:space="0" w:color="auto"/>
              <w:bottom w:val="single" w:sz="8" w:space="0" w:color="000000"/>
              <w:right w:val="single" w:sz="4" w:space="0" w:color="auto"/>
            </w:tcBorders>
            <w:vAlign w:val="center"/>
            <w:hideMark/>
          </w:tcPr>
          <w:p w14:paraId="09A98930"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E2F1EE"/>
            <w:noWrap/>
            <w:vAlign w:val="center"/>
            <w:hideMark/>
          </w:tcPr>
          <w:p w14:paraId="4800B484"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2020</w:t>
            </w:r>
          </w:p>
        </w:tc>
        <w:tc>
          <w:tcPr>
            <w:tcW w:w="804" w:type="dxa"/>
            <w:tcBorders>
              <w:top w:val="nil"/>
              <w:left w:val="nil"/>
              <w:bottom w:val="single" w:sz="4" w:space="0" w:color="auto"/>
              <w:right w:val="single" w:sz="4" w:space="0" w:color="auto"/>
            </w:tcBorders>
            <w:shd w:val="clear" w:color="auto" w:fill="auto"/>
            <w:noWrap/>
            <w:vAlign w:val="center"/>
            <w:hideMark/>
          </w:tcPr>
          <w:p w14:paraId="5E1A056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312</w:t>
            </w:r>
          </w:p>
        </w:tc>
        <w:tc>
          <w:tcPr>
            <w:tcW w:w="804" w:type="dxa"/>
            <w:tcBorders>
              <w:top w:val="nil"/>
              <w:left w:val="nil"/>
              <w:bottom w:val="single" w:sz="4" w:space="0" w:color="auto"/>
              <w:right w:val="single" w:sz="4" w:space="0" w:color="auto"/>
            </w:tcBorders>
            <w:shd w:val="clear" w:color="auto" w:fill="auto"/>
            <w:noWrap/>
            <w:vAlign w:val="center"/>
            <w:hideMark/>
          </w:tcPr>
          <w:p w14:paraId="274D3F1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327</w:t>
            </w:r>
          </w:p>
        </w:tc>
        <w:tc>
          <w:tcPr>
            <w:tcW w:w="804" w:type="dxa"/>
            <w:tcBorders>
              <w:top w:val="nil"/>
              <w:left w:val="nil"/>
              <w:bottom w:val="single" w:sz="4" w:space="0" w:color="auto"/>
              <w:right w:val="single" w:sz="4" w:space="0" w:color="auto"/>
            </w:tcBorders>
            <w:shd w:val="clear" w:color="auto" w:fill="auto"/>
            <w:noWrap/>
            <w:vAlign w:val="center"/>
            <w:hideMark/>
          </w:tcPr>
          <w:p w14:paraId="597A41E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217</w:t>
            </w:r>
          </w:p>
        </w:tc>
        <w:tc>
          <w:tcPr>
            <w:tcW w:w="804" w:type="dxa"/>
            <w:tcBorders>
              <w:top w:val="nil"/>
              <w:left w:val="nil"/>
              <w:bottom w:val="single" w:sz="4" w:space="0" w:color="auto"/>
              <w:right w:val="single" w:sz="4" w:space="0" w:color="auto"/>
            </w:tcBorders>
            <w:shd w:val="clear" w:color="auto" w:fill="auto"/>
            <w:noWrap/>
            <w:vAlign w:val="center"/>
            <w:hideMark/>
          </w:tcPr>
          <w:p w14:paraId="42400281"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155</w:t>
            </w:r>
          </w:p>
        </w:tc>
        <w:tc>
          <w:tcPr>
            <w:tcW w:w="805" w:type="dxa"/>
            <w:tcBorders>
              <w:top w:val="nil"/>
              <w:left w:val="nil"/>
              <w:bottom w:val="single" w:sz="4" w:space="0" w:color="auto"/>
              <w:right w:val="single" w:sz="4" w:space="0" w:color="auto"/>
            </w:tcBorders>
            <w:shd w:val="clear" w:color="auto" w:fill="auto"/>
            <w:noWrap/>
            <w:vAlign w:val="center"/>
            <w:hideMark/>
          </w:tcPr>
          <w:p w14:paraId="2CACEDC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264</w:t>
            </w:r>
          </w:p>
        </w:tc>
        <w:tc>
          <w:tcPr>
            <w:tcW w:w="804" w:type="dxa"/>
            <w:tcBorders>
              <w:top w:val="nil"/>
              <w:left w:val="nil"/>
              <w:bottom w:val="single" w:sz="4" w:space="0" w:color="auto"/>
              <w:right w:val="single" w:sz="4" w:space="0" w:color="auto"/>
            </w:tcBorders>
            <w:shd w:val="clear" w:color="auto" w:fill="auto"/>
            <w:noWrap/>
            <w:vAlign w:val="center"/>
            <w:hideMark/>
          </w:tcPr>
          <w:p w14:paraId="012B8A46"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235</w:t>
            </w:r>
          </w:p>
        </w:tc>
        <w:tc>
          <w:tcPr>
            <w:tcW w:w="804" w:type="dxa"/>
            <w:tcBorders>
              <w:top w:val="nil"/>
              <w:left w:val="nil"/>
              <w:bottom w:val="single" w:sz="4" w:space="0" w:color="auto"/>
              <w:right w:val="single" w:sz="4" w:space="0" w:color="auto"/>
            </w:tcBorders>
            <w:shd w:val="clear" w:color="auto" w:fill="auto"/>
            <w:noWrap/>
            <w:vAlign w:val="center"/>
            <w:hideMark/>
          </w:tcPr>
          <w:p w14:paraId="7E6446C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287</w:t>
            </w:r>
          </w:p>
        </w:tc>
        <w:tc>
          <w:tcPr>
            <w:tcW w:w="804" w:type="dxa"/>
            <w:tcBorders>
              <w:top w:val="nil"/>
              <w:left w:val="nil"/>
              <w:bottom w:val="single" w:sz="4" w:space="0" w:color="auto"/>
              <w:right w:val="single" w:sz="4" w:space="0" w:color="auto"/>
            </w:tcBorders>
            <w:shd w:val="clear" w:color="auto" w:fill="auto"/>
            <w:noWrap/>
            <w:vAlign w:val="center"/>
            <w:hideMark/>
          </w:tcPr>
          <w:p w14:paraId="67FBB4E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269</w:t>
            </w:r>
          </w:p>
        </w:tc>
        <w:tc>
          <w:tcPr>
            <w:tcW w:w="804" w:type="dxa"/>
            <w:tcBorders>
              <w:top w:val="nil"/>
              <w:left w:val="nil"/>
              <w:bottom w:val="single" w:sz="4" w:space="0" w:color="auto"/>
              <w:right w:val="single" w:sz="4" w:space="0" w:color="auto"/>
            </w:tcBorders>
            <w:shd w:val="clear" w:color="auto" w:fill="auto"/>
            <w:noWrap/>
            <w:vAlign w:val="center"/>
            <w:hideMark/>
          </w:tcPr>
          <w:p w14:paraId="3E57F64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308</w:t>
            </w:r>
          </w:p>
        </w:tc>
        <w:tc>
          <w:tcPr>
            <w:tcW w:w="805" w:type="dxa"/>
            <w:tcBorders>
              <w:top w:val="nil"/>
              <w:left w:val="nil"/>
              <w:bottom w:val="single" w:sz="4" w:space="0" w:color="auto"/>
              <w:right w:val="single" w:sz="4" w:space="0" w:color="auto"/>
            </w:tcBorders>
            <w:shd w:val="clear" w:color="auto" w:fill="auto"/>
            <w:noWrap/>
            <w:vAlign w:val="center"/>
            <w:hideMark/>
          </w:tcPr>
          <w:p w14:paraId="4F90055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252</w:t>
            </w:r>
          </w:p>
        </w:tc>
        <w:tc>
          <w:tcPr>
            <w:tcW w:w="804" w:type="dxa"/>
            <w:tcBorders>
              <w:top w:val="nil"/>
              <w:left w:val="nil"/>
              <w:bottom w:val="single" w:sz="4" w:space="0" w:color="auto"/>
              <w:right w:val="single" w:sz="4" w:space="0" w:color="auto"/>
            </w:tcBorders>
            <w:shd w:val="clear" w:color="auto" w:fill="auto"/>
            <w:noWrap/>
            <w:vAlign w:val="center"/>
            <w:hideMark/>
          </w:tcPr>
          <w:p w14:paraId="632ABF7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276</w:t>
            </w:r>
          </w:p>
        </w:tc>
        <w:tc>
          <w:tcPr>
            <w:tcW w:w="804" w:type="dxa"/>
            <w:tcBorders>
              <w:top w:val="nil"/>
              <w:left w:val="nil"/>
              <w:bottom w:val="single" w:sz="4" w:space="0" w:color="auto"/>
              <w:right w:val="single" w:sz="4" w:space="0" w:color="auto"/>
            </w:tcBorders>
            <w:shd w:val="clear" w:color="auto" w:fill="auto"/>
            <w:noWrap/>
            <w:vAlign w:val="center"/>
            <w:hideMark/>
          </w:tcPr>
          <w:p w14:paraId="7A00FE2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203</w:t>
            </w:r>
          </w:p>
        </w:tc>
        <w:tc>
          <w:tcPr>
            <w:tcW w:w="804" w:type="dxa"/>
            <w:tcBorders>
              <w:top w:val="nil"/>
              <w:left w:val="nil"/>
              <w:bottom w:val="single" w:sz="4" w:space="0" w:color="auto"/>
              <w:right w:val="single" w:sz="4" w:space="0" w:color="auto"/>
            </w:tcBorders>
            <w:shd w:val="clear" w:color="auto" w:fill="auto"/>
            <w:noWrap/>
            <w:vAlign w:val="center"/>
            <w:hideMark/>
          </w:tcPr>
          <w:p w14:paraId="132396B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137</w:t>
            </w:r>
          </w:p>
        </w:tc>
        <w:tc>
          <w:tcPr>
            <w:tcW w:w="804" w:type="dxa"/>
            <w:tcBorders>
              <w:top w:val="nil"/>
              <w:left w:val="nil"/>
              <w:bottom w:val="single" w:sz="4" w:space="0" w:color="auto"/>
              <w:right w:val="single" w:sz="4" w:space="0" w:color="auto"/>
            </w:tcBorders>
            <w:shd w:val="clear" w:color="auto" w:fill="auto"/>
            <w:noWrap/>
            <w:vAlign w:val="center"/>
            <w:hideMark/>
          </w:tcPr>
          <w:p w14:paraId="5759648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220</w:t>
            </w:r>
          </w:p>
        </w:tc>
        <w:tc>
          <w:tcPr>
            <w:tcW w:w="805" w:type="dxa"/>
            <w:tcBorders>
              <w:top w:val="nil"/>
              <w:left w:val="nil"/>
              <w:bottom w:val="single" w:sz="4" w:space="0" w:color="auto"/>
              <w:right w:val="single" w:sz="12" w:space="0" w:color="auto"/>
            </w:tcBorders>
            <w:shd w:val="clear" w:color="auto" w:fill="auto"/>
            <w:noWrap/>
            <w:vAlign w:val="center"/>
            <w:hideMark/>
          </w:tcPr>
          <w:p w14:paraId="1B73B4BE"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247</w:t>
            </w:r>
          </w:p>
        </w:tc>
      </w:tr>
      <w:tr w:rsidR="00B927FE" w:rsidRPr="00B927FE" w14:paraId="7A7E3202" w14:textId="77777777" w:rsidTr="004A7BE6">
        <w:trPr>
          <w:trHeight w:val="54"/>
        </w:trPr>
        <w:tc>
          <w:tcPr>
            <w:tcW w:w="1094" w:type="dxa"/>
            <w:vMerge/>
            <w:tcBorders>
              <w:top w:val="nil"/>
              <w:left w:val="single" w:sz="12" w:space="0" w:color="auto"/>
              <w:bottom w:val="single" w:sz="8" w:space="0" w:color="000000"/>
              <w:right w:val="single" w:sz="4" w:space="0" w:color="auto"/>
            </w:tcBorders>
            <w:vAlign w:val="center"/>
            <w:hideMark/>
          </w:tcPr>
          <w:p w14:paraId="5CEBBE11"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E2F1EE"/>
            <w:noWrap/>
            <w:vAlign w:val="center"/>
            <w:hideMark/>
          </w:tcPr>
          <w:p w14:paraId="5AE76A11"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2021</w:t>
            </w:r>
          </w:p>
        </w:tc>
        <w:tc>
          <w:tcPr>
            <w:tcW w:w="804" w:type="dxa"/>
            <w:tcBorders>
              <w:top w:val="nil"/>
              <w:left w:val="nil"/>
              <w:bottom w:val="single" w:sz="4" w:space="0" w:color="auto"/>
              <w:right w:val="single" w:sz="4" w:space="0" w:color="auto"/>
            </w:tcBorders>
            <w:shd w:val="clear" w:color="auto" w:fill="auto"/>
            <w:noWrap/>
            <w:vAlign w:val="center"/>
            <w:hideMark/>
          </w:tcPr>
          <w:p w14:paraId="7ADCEA7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326</w:t>
            </w:r>
          </w:p>
        </w:tc>
        <w:tc>
          <w:tcPr>
            <w:tcW w:w="804" w:type="dxa"/>
            <w:tcBorders>
              <w:top w:val="nil"/>
              <w:left w:val="nil"/>
              <w:bottom w:val="single" w:sz="4" w:space="0" w:color="auto"/>
              <w:right w:val="single" w:sz="4" w:space="0" w:color="auto"/>
            </w:tcBorders>
            <w:shd w:val="clear" w:color="auto" w:fill="auto"/>
            <w:noWrap/>
            <w:vAlign w:val="center"/>
            <w:hideMark/>
          </w:tcPr>
          <w:p w14:paraId="081C8ED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220</w:t>
            </w:r>
          </w:p>
        </w:tc>
        <w:tc>
          <w:tcPr>
            <w:tcW w:w="804" w:type="dxa"/>
            <w:tcBorders>
              <w:top w:val="nil"/>
              <w:left w:val="nil"/>
              <w:bottom w:val="single" w:sz="4" w:space="0" w:color="auto"/>
              <w:right w:val="single" w:sz="4" w:space="0" w:color="auto"/>
            </w:tcBorders>
            <w:shd w:val="clear" w:color="auto" w:fill="auto"/>
            <w:noWrap/>
            <w:vAlign w:val="center"/>
            <w:hideMark/>
          </w:tcPr>
          <w:p w14:paraId="4AA1527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161</w:t>
            </w:r>
          </w:p>
        </w:tc>
        <w:tc>
          <w:tcPr>
            <w:tcW w:w="804" w:type="dxa"/>
            <w:tcBorders>
              <w:top w:val="nil"/>
              <w:left w:val="nil"/>
              <w:bottom w:val="single" w:sz="4" w:space="0" w:color="auto"/>
              <w:right w:val="single" w:sz="4" w:space="0" w:color="auto"/>
            </w:tcBorders>
            <w:shd w:val="clear" w:color="auto" w:fill="auto"/>
            <w:noWrap/>
            <w:vAlign w:val="center"/>
            <w:hideMark/>
          </w:tcPr>
          <w:p w14:paraId="29E61A3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152</w:t>
            </w:r>
          </w:p>
        </w:tc>
        <w:tc>
          <w:tcPr>
            <w:tcW w:w="805" w:type="dxa"/>
            <w:tcBorders>
              <w:top w:val="nil"/>
              <w:left w:val="nil"/>
              <w:bottom w:val="single" w:sz="4" w:space="0" w:color="auto"/>
              <w:right w:val="single" w:sz="4" w:space="0" w:color="auto"/>
            </w:tcBorders>
            <w:shd w:val="clear" w:color="auto" w:fill="auto"/>
            <w:noWrap/>
            <w:vAlign w:val="center"/>
            <w:hideMark/>
          </w:tcPr>
          <w:p w14:paraId="7B89830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213</w:t>
            </w:r>
          </w:p>
        </w:tc>
        <w:tc>
          <w:tcPr>
            <w:tcW w:w="804" w:type="dxa"/>
            <w:tcBorders>
              <w:top w:val="nil"/>
              <w:left w:val="nil"/>
              <w:bottom w:val="single" w:sz="4" w:space="0" w:color="auto"/>
              <w:right w:val="single" w:sz="4" w:space="0" w:color="auto"/>
            </w:tcBorders>
            <w:shd w:val="clear" w:color="auto" w:fill="auto"/>
            <w:noWrap/>
            <w:vAlign w:val="center"/>
            <w:hideMark/>
          </w:tcPr>
          <w:p w14:paraId="6574A0D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294</w:t>
            </w:r>
          </w:p>
        </w:tc>
        <w:tc>
          <w:tcPr>
            <w:tcW w:w="804" w:type="dxa"/>
            <w:tcBorders>
              <w:top w:val="nil"/>
              <w:left w:val="nil"/>
              <w:bottom w:val="single" w:sz="4" w:space="0" w:color="auto"/>
              <w:right w:val="single" w:sz="4" w:space="0" w:color="auto"/>
            </w:tcBorders>
            <w:shd w:val="clear" w:color="auto" w:fill="auto"/>
            <w:noWrap/>
            <w:vAlign w:val="center"/>
            <w:hideMark/>
          </w:tcPr>
          <w:p w14:paraId="464A8D1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270</w:t>
            </w:r>
          </w:p>
        </w:tc>
        <w:tc>
          <w:tcPr>
            <w:tcW w:w="804" w:type="dxa"/>
            <w:tcBorders>
              <w:top w:val="nil"/>
              <w:left w:val="nil"/>
              <w:bottom w:val="single" w:sz="4" w:space="0" w:color="auto"/>
              <w:right w:val="single" w:sz="4" w:space="0" w:color="auto"/>
            </w:tcBorders>
            <w:shd w:val="clear" w:color="auto" w:fill="auto"/>
            <w:noWrap/>
            <w:vAlign w:val="center"/>
            <w:hideMark/>
          </w:tcPr>
          <w:p w14:paraId="3513FF1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267</w:t>
            </w:r>
          </w:p>
        </w:tc>
        <w:tc>
          <w:tcPr>
            <w:tcW w:w="804" w:type="dxa"/>
            <w:tcBorders>
              <w:top w:val="nil"/>
              <w:left w:val="nil"/>
              <w:bottom w:val="single" w:sz="4" w:space="0" w:color="auto"/>
              <w:right w:val="single" w:sz="4" w:space="0" w:color="auto"/>
            </w:tcBorders>
            <w:shd w:val="clear" w:color="auto" w:fill="auto"/>
            <w:noWrap/>
            <w:vAlign w:val="center"/>
            <w:hideMark/>
          </w:tcPr>
          <w:p w14:paraId="5B2E6E6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206</w:t>
            </w:r>
          </w:p>
        </w:tc>
        <w:tc>
          <w:tcPr>
            <w:tcW w:w="805" w:type="dxa"/>
            <w:tcBorders>
              <w:top w:val="nil"/>
              <w:left w:val="nil"/>
              <w:bottom w:val="single" w:sz="4" w:space="0" w:color="auto"/>
              <w:right w:val="single" w:sz="4" w:space="0" w:color="auto"/>
            </w:tcBorders>
            <w:shd w:val="clear" w:color="auto" w:fill="auto"/>
            <w:noWrap/>
            <w:vAlign w:val="center"/>
            <w:hideMark/>
          </w:tcPr>
          <w:p w14:paraId="1F4F073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213</w:t>
            </w:r>
          </w:p>
        </w:tc>
        <w:tc>
          <w:tcPr>
            <w:tcW w:w="804" w:type="dxa"/>
            <w:tcBorders>
              <w:top w:val="nil"/>
              <w:left w:val="nil"/>
              <w:bottom w:val="single" w:sz="4" w:space="0" w:color="auto"/>
              <w:right w:val="single" w:sz="4" w:space="0" w:color="auto"/>
            </w:tcBorders>
            <w:shd w:val="clear" w:color="auto" w:fill="auto"/>
            <w:noWrap/>
            <w:vAlign w:val="center"/>
            <w:hideMark/>
          </w:tcPr>
          <w:p w14:paraId="35D59F7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216</w:t>
            </w:r>
          </w:p>
        </w:tc>
        <w:tc>
          <w:tcPr>
            <w:tcW w:w="804" w:type="dxa"/>
            <w:tcBorders>
              <w:top w:val="nil"/>
              <w:left w:val="nil"/>
              <w:bottom w:val="single" w:sz="4" w:space="0" w:color="auto"/>
              <w:right w:val="single" w:sz="4" w:space="0" w:color="auto"/>
            </w:tcBorders>
            <w:shd w:val="clear" w:color="auto" w:fill="auto"/>
            <w:noWrap/>
            <w:vAlign w:val="center"/>
            <w:hideMark/>
          </w:tcPr>
          <w:p w14:paraId="5F53EFD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180</w:t>
            </w:r>
          </w:p>
        </w:tc>
        <w:tc>
          <w:tcPr>
            <w:tcW w:w="804" w:type="dxa"/>
            <w:tcBorders>
              <w:top w:val="nil"/>
              <w:left w:val="nil"/>
              <w:bottom w:val="single" w:sz="4" w:space="0" w:color="auto"/>
              <w:right w:val="single" w:sz="4" w:space="0" w:color="auto"/>
            </w:tcBorders>
            <w:shd w:val="clear" w:color="auto" w:fill="auto"/>
            <w:noWrap/>
            <w:vAlign w:val="center"/>
            <w:hideMark/>
          </w:tcPr>
          <w:p w14:paraId="3226351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264</w:t>
            </w:r>
          </w:p>
        </w:tc>
        <w:tc>
          <w:tcPr>
            <w:tcW w:w="804" w:type="dxa"/>
            <w:tcBorders>
              <w:top w:val="nil"/>
              <w:left w:val="nil"/>
              <w:bottom w:val="single" w:sz="4" w:space="0" w:color="auto"/>
              <w:right w:val="single" w:sz="4" w:space="0" w:color="auto"/>
            </w:tcBorders>
            <w:shd w:val="clear" w:color="auto" w:fill="auto"/>
            <w:noWrap/>
            <w:vAlign w:val="center"/>
            <w:hideMark/>
          </w:tcPr>
          <w:p w14:paraId="7ECEE56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201</w:t>
            </w:r>
          </w:p>
        </w:tc>
        <w:tc>
          <w:tcPr>
            <w:tcW w:w="805" w:type="dxa"/>
            <w:tcBorders>
              <w:top w:val="nil"/>
              <w:left w:val="nil"/>
              <w:bottom w:val="single" w:sz="4" w:space="0" w:color="auto"/>
              <w:right w:val="single" w:sz="12" w:space="0" w:color="auto"/>
            </w:tcBorders>
            <w:shd w:val="clear" w:color="auto" w:fill="auto"/>
            <w:noWrap/>
            <w:vAlign w:val="center"/>
            <w:hideMark/>
          </w:tcPr>
          <w:p w14:paraId="62448A65"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227</w:t>
            </w:r>
          </w:p>
        </w:tc>
      </w:tr>
      <w:tr w:rsidR="00B927FE" w:rsidRPr="00B927FE" w14:paraId="58873662" w14:textId="77777777" w:rsidTr="004A7BE6">
        <w:trPr>
          <w:trHeight w:val="54"/>
        </w:trPr>
        <w:tc>
          <w:tcPr>
            <w:tcW w:w="1094" w:type="dxa"/>
            <w:vMerge/>
            <w:tcBorders>
              <w:top w:val="nil"/>
              <w:left w:val="single" w:sz="12" w:space="0" w:color="auto"/>
              <w:bottom w:val="single" w:sz="8" w:space="0" w:color="000000"/>
              <w:right w:val="single" w:sz="4" w:space="0" w:color="auto"/>
            </w:tcBorders>
            <w:vAlign w:val="center"/>
            <w:hideMark/>
          </w:tcPr>
          <w:p w14:paraId="56517774"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4" w:space="0" w:color="auto"/>
              <w:right w:val="single" w:sz="4" w:space="0" w:color="auto"/>
            </w:tcBorders>
            <w:shd w:val="clear" w:color="000000" w:fill="E2F1EE"/>
            <w:noWrap/>
            <w:vAlign w:val="center"/>
            <w:hideMark/>
          </w:tcPr>
          <w:p w14:paraId="0E607961"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2022</w:t>
            </w:r>
          </w:p>
        </w:tc>
        <w:tc>
          <w:tcPr>
            <w:tcW w:w="804" w:type="dxa"/>
            <w:tcBorders>
              <w:top w:val="nil"/>
              <w:left w:val="nil"/>
              <w:bottom w:val="single" w:sz="4" w:space="0" w:color="auto"/>
              <w:right w:val="single" w:sz="4" w:space="0" w:color="auto"/>
            </w:tcBorders>
            <w:shd w:val="clear" w:color="auto" w:fill="auto"/>
            <w:noWrap/>
            <w:vAlign w:val="center"/>
            <w:hideMark/>
          </w:tcPr>
          <w:p w14:paraId="261D48B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571</w:t>
            </w:r>
          </w:p>
        </w:tc>
        <w:tc>
          <w:tcPr>
            <w:tcW w:w="804" w:type="dxa"/>
            <w:tcBorders>
              <w:top w:val="nil"/>
              <w:left w:val="nil"/>
              <w:bottom w:val="single" w:sz="4" w:space="0" w:color="auto"/>
              <w:right w:val="single" w:sz="4" w:space="0" w:color="auto"/>
            </w:tcBorders>
            <w:shd w:val="clear" w:color="auto" w:fill="auto"/>
            <w:noWrap/>
            <w:vAlign w:val="center"/>
            <w:hideMark/>
          </w:tcPr>
          <w:p w14:paraId="4C7B837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518</w:t>
            </w:r>
          </w:p>
        </w:tc>
        <w:tc>
          <w:tcPr>
            <w:tcW w:w="804" w:type="dxa"/>
            <w:tcBorders>
              <w:top w:val="nil"/>
              <w:left w:val="nil"/>
              <w:bottom w:val="single" w:sz="4" w:space="0" w:color="auto"/>
              <w:right w:val="single" w:sz="4" w:space="0" w:color="auto"/>
            </w:tcBorders>
            <w:shd w:val="clear" w:color="auto" w:fill="auto"/>
            <w:noWrap/>
            <w:vAlign w:val="center"/>
            <w:hideMark/>
          </w:tcPr>
          <w:p w14:paraId="396EACF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289</w:t>
            </w:r>
          </w:p>
        </w:tc>
        <w:tc>
          <w:tcPr>
            <w:tcW w:w="804" w:type="dxa"/>
            <w:tcBorders>
              <w:top w:val="nil"/>
              <w:left w:val="nil"/>
              <w:bottom w:val="single" w:sz="4" w:space="0" w:color="auto"/>
              <w:right w:val="single" w:sz="4" w:space="0" w:color="auto"/>
            </w:tcBorders>
            <w:shd w:val="clear" w:color="auto" w:fill="auto"/>
            <w:noWrap/>
            <w:vAlign w:val="center"/>
            <w:hideMark/>
          </w:tcPr>
          <w:p w14:paraId="65EF5A6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290</w:t>
            </w:r>
          </w:p>
        </w:tc>
        <w:tc>
          <w:tcPr>
            <w:tcW w:w="805" w:type="dxa"/>
            <w:tcBorders>
              <w:top w:val="nil"/>
              <w:left w:val="nil"/>
              <w:bottom w:val="single" w:sz="4" w:space="0" w:color="auto"/>
              <w:right w:val="single" w:sz="4" w:space="0" w:color="auto"/>
            </w:tcBorders>
            <w:shd w:val="clear" w:color="auto" w:fill="auto"/>
            <w:noWrap/>
            <w:vAlign w:val="center"/>
            <w:hideMark/>
          </w:tcPr>
          <w:p w14:paraId="2A6CCC62"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483</w:t>
            </w:r>
          </w:p>
        </w:tc>
        <w:tc>
          <w:tcPr>
            <w:tcW w:w="804" w:type="dxa"/>
            <w:tcBorders>
              <w:top w:val="nil"/>
              <w:left w:val="nil"/>
              <w:bottom w:val="single" w:sz="4" w:space="0" w:color="auto"/>
              <w:right w:val="single" w:sz="4" w:space="0" w:color="auto"/>
            </w:tcBorders>
            <w:shd w:val="clear" w:color="auto" w:fill="auto"/>
            <w:noWrap/>
            <w:vAlign w:val="center"/>
            <w:hideMark/>
          </w:tcPr>
          <w:p w14:paraId="2AE99BB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435</w:t>
            </w:r>
          </w:p>
        </w:tc>
        <w:tc>
          <w:tcPr>
            <w:tcW w:w="804" w:type="dxa"/>
            <w:tcBorders>
              <w:top w:val="nil"/>
              <w:left w:val="nil"/>
              <w:bottom w:val="single" w:sz="4" w:space="0" w:color="auto"/>
              <w:right w:val="single" w:sz="4" w:space="0" w:color="auto"/>
            </w:tcBorders>
            <w:shd w:val="clear" w:color="auto" w:fill="auto"/>
            <w:noWrap/>
            <w:vAlign w:val="center"/>
            <w:hideMark/>
          </w:tcPr>
          <w:p w14:paraId="5F07028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430</w:t>
            </w:r>
          </w:p>
        </w:tc>
        <w:tc>
          <w:tcPr>
            <w:tcW w:w="804" w:type="dxa"/>
            <w:tcBorders>
              <w:top w:val="nil"/>
              <w:left w:val="nil"/>
              <w:bottom w:val="single" w:sz="4" w:space="0" w:color="auto"/>
              <w:right w:val="single" w:sz="4" w:space="0" w:color="auto"/>
            </w:tcBorders>
            <w:shd w:val="clear" w:color="auto" w:fill="auto"/>
            <w:noWrap/>
            <w:vAlign w:val="center"/>
            <w:hideMark/>
          </w:tcPr>
          <w:p w14:paraId="2AF919D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483</w:t>
            </w:r>
          </w:p>
        </w:tc>
        <w:tc>
          <w:tcPr>
            <w:tcW w:w="804" w:type="dxa"/>
            <w:tcBorders>
              <w:top w:val="nil"/>
              <w:left w:val="nil"/>
              <w:bottom w:val="single" w:sz="4" w:space="0" w:color="auto"/>
              <w:right w:val="single" w:sz="4" w:space="0" w:color="auto"/>
            </w:tcBorders>
            <w:shd w:val="clear" w:color="auto" w:fill="auto"/>
            <w:noWrap/>
            <w:vAlign w:val="center"/>
            <w:hideMark/>
          </w:tcPr>
          <w:p w14:paraId="31600473"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491</w:t>
            </w:r>
          </w:p>
        </w:tc>
        <w:tc>
          <w:tcPr>
            <w:tcW w:w="805" w:type="dxa"/>
            <w:tcBorders>
              <w:top w:val="nil"/>
              <w:left w:val="nil"/>
              <w:bottom w:val="single" w:sz="4" w:space="0" w:color="auto"/>
              <w:right w:val="single" w:sz="4" w:space="0" w:color="auto"/>
            </w:tcBorders>
            <w:shd w:val="clear" w:color="auto" w:fill="auto"/>
            <w:noWrap/>
            <w:vAlign w:val="center"/>
            <w:hideMark/>
          </w:tcPr>
          <w:p w14:paraId="4B9778F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383</w:t>
            </w:r>
          </w:p>
        </w:tc>
        <w:tc>
          <w:tcPr>
            <w:tcW w:w="804" w:type="dxa"/>
            <w:tcBorders>
              <w:top w:val="nil"/>
              <w:left w:val="nil"/>
              <w:bottom w:val="single" w:sz="4" w:space="0" w:color="auto"/>
              <w:right w:val="single" w:sz="4" w:space="0" w:color="auto"/>
            </w:tcBorders>
            <w:shd w:val="clear" w:color="auto" w:fill="auto"/>
            <w:noWrap/>
            <w:vAlign w:val="center"/>
            <w:hideMark/>
          </w:tcPr>
          <w:p w14:paraId="0D0920C9"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447</w:t>
            </w:r>
          </w:p>
        </w:tc>
        <w:tc>
          <w:tcPr>
            <w:tcW w:w="804" w:type="dxa"/>
            <w:tcBorders>
              <w:top w:val="nil"/>
              <w:left w:val="nil"/>
              <w:bottom w:val="single" w:sz="4" w:space="0" w:color="auto"/>
              <w:right w:val="single" w:sz="4" w:space="0" w:color="auto"/>
            </w:tcBorders>
            <w:shd w:val="clear" w:color="auto" w:fill="auto"/>
            <w:noWrap/>
            <w:vAlign w:val="center"/>
            <w:hideMark/>
          </w:tcPr>
          <w:p w14:paraId="323B6C34"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392</w:t>
            </w:r>
          </w:p>
        </w:tc>
        <w:tc>
          <w:tcPr>
            <w:tcW w:w="804" w:type="dxa"/>
            <w:tcBorders>
              <w:top w:val="nil"/>
              <w:left w:val="nil"/>
              <w:bottom w:val="single" w:sz="4" w:space="0" w:color="auto"/>
              <w:right w:val="single" w:sz="4" w:space="0" w:color="auto"/>
            </w:tcBorders>
            <w:shd w:val="clear" w:color="auto" w:fill="auto"/>
            <w:noWrap/>
            <w:vAlign w:val="center"/>
            <w:hideMark/>
          </w:tcPr>
          <w:p w14:paraId="2CB2CEA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426</w:t>
            </w:r>
          </w:p>
        </w:tc>
        <w:tc>
          <w:tcPr>
            <w:tcW w:w="804" w:type="dxa"/>
            <w:tcBorders>
              <w:top w:val="nil"/>
              <w:left w:val="nil"/>
              <w:bottom w:val="single" w:sz="4" w:space="0" w:color="auto"/>
              <w:right w:val="single" w:sz="4" w:space="0" w:color="auto"/>
            </w:tcBorders>
            <w:shd w:val="clear" w:color="auto" w:fill="auto"/>
            <w:noWrap/>
            <w:vAlign w:val="center"/>
            <w:hideMark/>
          </w:tcPr>
          <w:p w14:paraId="62AF76C5"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337</w:t>
            </w:r>
          </w:p>
        </w:tc>
        <w:tc>
          <w:tcPr>
            <w:tcW w:w="805" w:type="dxa"/>
            <w:tcBorders>
              <w:top w:val="nil"/>
              <w:left w:val="nil"/>
              <w:bottom w:val="single" w:sz="4" w:space="0" w:color="auto"/>
              <w:right w:val="single" w:sz="12" w:space="0" w:color="auto"/>
            </w:tcBorders>
            <w:shd w:val="clear" w:color="auto" w:fill="auto"/>
            <w:noWrap/>
            <w:vAlign w:val="center"/>
            <w:hideMark/>
          </w:tcPr>
          <w:p w14:paraId="006C5F0D"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427</w:t>
            </w:r>
          </w:p>
        </w:tc>
      </w:tr>
      <w:tr w:rsidR="00B927FE" w:rsidRPr="00B927FE" w14:paraId="33F7865A" w14:textId="77777777" w:rsidTr="004A7BE6">
        <w:trPr>
          <w:trHeight w:val="54"/>
        </w:trPr>
        <w:tc>
          <w:tcPr>
            <w:tcW w:w="1094" w:type="dxa"/>
            <w:vMerge/>
            <w:tcBorders>
              <w:top w:val="nil"/>
              <w:left w:val="single" w:sz="12" w:space="0" w:color="auto"/>
              <w:bottom w:val="single" w:sz="12" w:space="0" w:color="auto"/>
              <w:right w:val="single" w:sz="4" w:space="0" w:color="auto"/>
            </w:tcBorders>
            <w:vAlign w:val="center"/>
            <w:hideMark/>
          </w:tcPr>
          <w:p w14:paraId="563E4470" w14:textId="77777777" w:rsidR="00B927FE" w:rsidRPr="00B927FE" w:rsidRDefault="00B927FE" w:rsidP="00B927FE">
            <w:pPr>
              <w:spacing w:after="0" w:line="240" w:lineRule="auto"/>
              <w:rPr>
                <w:rFonts w:eastAsia="Times New Roman" w:cstheme="minorHAnsi"/>
                <w:b/>
                <w:bCs/>
                <w:color w:val="000000"/>
                <w:sz w:val="18"/>
                <w:szCs w:val="18"/>
                <w:lang w:eastAsia="cs-CZ"/>
              </w:rPr>
            </w:pPr>
          </w:p>
        </w:tc>
        <w:tc>
          <w:tcPr>
            <w:tcW w:w="804" w:type="dxa"/>
            <w:tcBorders>
              <w:top w:val="nil"/>
              <w:left w:val="nil"/>
              <w:bottom w:val="single" w:sz="12" w:space="0" w:color="auto"/>
              <w:right w:val="single" w:sz="4" w:space="0" w:color="auto"/>
            </w:tcBorders>
            <w:shd w:val="clear" w:color="000000" w:fill="E2F1EE"/>
            <w:noWrap/>
            <w:vAlign w:val="center"/>
            <w:hideMark/>
          </w:tcPr>
          <w:p w14:paraId="2DD46524" w14:textId="77777777" w:rsidR="00B927FE" w:rsidRPr="00B927FE" w:rsidRDefault="00B927FE" w:rsidP="00B927FE">
            <w:pPr>
              <w:spacing w:after="0" w:line="240" w:lineRule="auto"/>
              <w:jc w:val="center"/>
              <w:rPr>
                <w:rFonts w:eastAsia="Times New Roman" w:cstheme="minorHAnsi"/>
                <w:b/>
                <w:bCs/>
                <w:color w:val="000000"/>
                <w:sz w:val="18"/>
                <w:szCs w:val="18"/>
                <w:lang w:eastAsia="cs-CZ"/>
              </w:rPr>
            </w:pPr>
            <w:r w:rsidRPr="00B927FE">
              <w:rPr>
                <w:rFonts w:eastAsia="Times New Roman" w:cstheme="minorHAnsi"/>
                <w:b/>
                <w:bCs/>
                <w:color w:val="000000"/>
                <w:sz w:val="18"/>
                <w:szCs w:val="18"/>
                <w:lang w:eastAsia="cs-CZ"/>
              </w:rPr>
              <w:t>2023</w:t>
            </w:r>
          </w:p>
        </w:tc>
        <w:tc>
          <w:tcPr>
            <w:tcW w:w="804" w:type="dxa"/>
            <w:tcBorders>
              <w:top w:val="nil"/>
              <w:left w:val="nil"/>
              <w:bottom w:val="single" w:sz="12" w:space="0" w:color="auto"/>
              <w:right w:val="single" w:sz="4" w:space="0" w:color="auto"/>
            </w:tcBorders>
            <w:shd w:val="clear" w:color="auto" w:fill="auto"/>
            <w:noWrap/>
            <w:vAlign w:val="center"/>
            <w:hideMark/>
          </w:tcPr>
          <w:p w14:paraId="4838D17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606</w:t>
            </w:r>
          </w:p>
        </w:tc>
        <w:tc>
          <w:tcPr>
            <w:tcW w:w="804" w:type="dxa"/>
            <w:tcBorders>
              <w:top w:val="nil"/>
              <w:left w:val="nil"/>
              <w:bottom w:val="single" w:sz="12" w:space="0" w:color="auto"/>
              <w:right w:val="single" w:sz="4" w:space="0" w:color="auto"/>
            </w:tcBorders>
            <w:shd w:val="clear" w:color="auto" w:fill="auto"/>
            <w:noWrap/>
            <w:vAlign w:val="center"/>
            <w:hideMark/>
          </w:tcPr>
          <w:p w14:paraId="46C9D08D" w14:textId="7B53A89F"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432</w:t>
            </w:r>
          </w:p>
        </w:tc>
        <w:tc>
          <w:tcPr>
            <w:tcW w:w="804" w:type="dxa"/>
            <w:tcBorders>
              <w:top w:val="nil"/>
              <w:left w:val="nil"/>
              <w:bottom w:val="single" w:sz="12" w:space="0" w:color="auto"/>
              <w:right w:val="single" w:sz="4" w:space="0" w:color="auto"/>
            </w:tcBorders>
            <w:shd w:val="clear" w:color="auto" w:fill="auto"/>
            <w:noWrap/>
            <w:vAlign w:val="center"/>
            <w:hideMark/>
          </w:tcPr>
          <w:p w14:paraId="47527BC7"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311</w:t>
            </w:r>
          </w:p>
        </w:tc>
        <w:tc>
          <w:tcPr>
            <w:tcW w:w="804" w:type="dxa"/>
            <w:tcBorders>
              <w:top w:val="nil"/>
              <w:left w:val="nil"/>
              <w:bottom w:val="single" w:sz="12" w:space="0" w:color="auto"/>
              <w:right w:val="single" w:sz="4" w:space="0" w:color="auto"/>
            </w:tcBorders>
            <w:shd w:val="clear" w:color="auto" w:fill="auto"/>
            <w:noWrap/>
            <w:vAlign w:val="center"/>
            <w:hideMark/>
          </w:tcPr>
          <w:p w14:paraId="426350D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287</w:t>
            </w:r>
          </w:p>
        </w:tc>
        <w:tc>
          <w:tcPr>
            <w:tcW w:w="805" w:type="dxa"/>
            <w:tcBorders>
              <w:top w:val="nil"/>
              <w:left w:val="nil"/>
              <w:bottom w:val="single" w:sz="12" w:space="0" w:color="auto"/>
              <w:right w:val="single" w:sz="4" w:space="0" w:color="auto"/>
            </w:tcBorders>
            <w:shd w:val="clear" w:color="auto" w:fill="auto"/>
            <w:noWrap/>
            <w:vAlign w:val="center"/>
            <w:hideMark/>
          </w:tcPr>
          <w:p w14:paraId="77222AB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393</w:t>
            </w:r>
          </w:p>
        </w:tc>
        <w:tc>
          <w:tcPr>
            <w:tcW w:w="804" w:type="dxa"/>
            <w:tcBorders>
              <w:top w:val="nil"/>
              <w:left w:val="nil"/>
              <w:bottom w:val="single" w:sz="12" w:space="0" w:color="auto"/>
              <w:right w:val="single" w:sz="4" w:space="0" w:color="auto"/>
            </w:tcBorders>
            <w:shd w:val="clear" w:color="auto" w:fill="auto"/>
            <w:noWrap/>
            <w:vAlign w:val="center"/>
            <w:hideMark/>
          </w:tcPr>
          <w:p w14:paraId="74CE898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461</w:t>
            </w:r>
          </w:p>
        </w:tc>
        <w:tc>
          <w:tcPr>
            <w:tcW w:w="804" w:type="dxa"/>
            <w:tcBorders>
              <w:top w:val="nil"/>
              <w:left w:val="nil"/>
              <w:bottom w:val="single" w:sz="12" w:space="0" w:color="auto"/>
              <w:right w:val="single" w:sz="4" w:space="0" w:color="auto"/>
            </w:tcBorders>
            <w:shd w:val="clear" w:color="auto" w:fill="auto"/>
            <w:noWrap/>
            <w:vAlign w:val="center"/>
            <w:hideMark/>
          </w:tcPr>
          <w:p w14:paraId="327FA77D"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394</w:t>
            </w:r>
          </w:p>
        </w:tc>
        <w:tc>
          <w:tcPr>
            <w:tcW w:w="804" w:type="dxa"/>
            <w:tcBorders>
              <w:top w:val="nil"/>
              <w:left w:val="nil"/>
              <w:bottom w:val="single" w:sz="12" w:space="0" w:color="auto"/>
              <w:right w:val="single" w:sz="4" w:space="0" w:color="auto"/>
            </w:tcBorders>
            <w:shd w:val="clear" w:color="auto" w:fill="auto"/>
            <w:noWrap/>
            <w:vAlign w:val="center"/>
            <w:hideMark/>
          </w:tcPr>
          <w:p w14:paraId="664921FA"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504</w:t>
            </w:r>
          </w:p>
        </w:tc>
        <w:tc>
          <w:tcPr>
            <w:tcW w:w="804" w:type="dxa"/>
            <w:tcBorders>
              <w:top w:val="nil"/>
              <w:left w:val="nil"/>
              <w:bottom w:val="single" w:sz="12" w:space="0" w:color="auto"/>
              <w:right w:val="single" w:sz="4" w:space="0" w:color="auto"/>
            </w:tcBorders>
            <w:shd w:val="clear" w:color="auto" w:fill="auto"/>
            <w:noWrap/>
            <w:vAlign w:val="center"/>
            <w:hideMark/>
          </w:tcPr>
          <w:p w14:paraId="1EA95D2C"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435</w:t>
            </w:r>
          </w:p>
        </w:tc>
        <w:tc>
          <w:tcPr>
            <w:tcW w:w="805" w:type="dxa"/>
            <w:tcBorders>
              <w:top w:val="nil"/>
              <w:left w:val="nil"/>
              <w:bottom w:val="single" w:sz="12" w:space="0" w:color="auto"/>
              <w:right w:val="single" w:sz="4" w:space="0" w:color="auto"/>
            </w:tcBorders>
            <w:shd w:val="clear" w:color="auto" w:fill="auto"/>
            <w:noWrap/>
            <w:vAlign w:val="center"/>
            <w:hideMark/>
          </w:tcPr>
          <w:p w14:paraId="6268234B"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357</w:t>
            </w:r>
          </w:p>
        </w:tc>
        <w:tc>
          <w:tcPr>
            <w:tcW w:w="804" w:type="dxa"/>
            <w:tcBorders>
              <w:top w:val="nil"/>
              <w:left w:val="nil"/>
              <w:bottom w:val="single" w:sz="12" w:space="0" w:color="auto"/>
              <w:right w:val="single" w:sz="4" w:space="0" w:color="auto"/>
            </w:tcBorders>
            <w:shd w:val="clear" w:color="auto" w:fill="auto"/>
            <w:noWrap/>
            <w:vAlign w:val="center"/>
            <w:hideMark/>
          </w:tcPr>
          <w:p w14:paraId="501EEAEF"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445</w:t>
            </w:r>
          </w:p>
        </w:tc>
        <w:tc>
          <w:tcPr>
            <w:tcW w:w="804" w:type="dxa"/>
            <w:tcBorders>
              <w:top w:val="nil"/>
              <w:left w:val="nil"/>
              <w:bottom w:val="single" w:sz="12" w:space="0" w:color="auto"/>
              <w:right w:val="single" w:sz="4" w:space="0" w:color="auto"/>
            </w:tcBorders>
            <w:shd w:val="clear" w:color="auto" w:fill="auto"/>
            <w:noWrap/>
            <w:vAlign w:val="center"/>
            <w:hideMark/>
          </w:tcPr>
          <w:p w14:paraId="4D27A1E0"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458</w:t>
            </w:r>
          </w:p>
        </w:tc>
        <w:tc>
          <w:tcPr>
            <w:tcW w:w="804" w:type="dxa"/>
            <w:tcBorders>
              <w:top w:val="nil"/>
              <w:left w:val="nil"/>
              <w:bottom w:val="single" w:sz="12" w:space="0" w:color="auto"/>
              <w:right w:val="single" w:sz="4" w:space="0" w:color="auto"/>
            </w:tcBorders>
            <w:shd w:val="clear" w:color="auto" w:fill="auto"/>
            <w:noWrap/>
            <w:vAlign w:val="center"/>
            <w:hideMark/>
          </w:tcPr>
          <w:p w14:paraId="0479DA0E"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454</w:t>
            </w:r>
          </w:p>
        </w:tc>
        <w:tc>
          <w:tcPr>
            <w:tcW w:w="804" w:type="dxa"/>
            <w:tcBorders>
              <w:top w:val="nil"/>
              <w:left w:val="nil"/>
              <w:bottom w:val="single" w:sz="12" w:space="0" w:color="auto"/>
              <w:right w:val="single" w:sz="4" w:space="0" w:color="auto"/>
            </w:tcBorders>
            <w:shd w:val="clear" w:color="auto" w:fill="auto"/>
            <w:noWrap/>
            <w:vAlign w:val="center"/>
            <w:hideMark/>
          </w:tcPr>
          <w:p w14:paraId="51AF1018" w14:textId="77777777" w:rsidR="00B927FE" w:rsidRPr="00B927FE" w:rsidRDefault="00B927FE" w:rsidP="00C62D35">
            <w:pPr>
              <w:spacing w:after="0" w:line="240" w:lineRule="auto"/>
              <w:ind w:right="57"/>
              <w:jc w:val="right"/>
              <w:rPr>
                <w:rFonts w:eastAsia="Times New Roman" w:cstheme="minorHAnsi"/>
                <w:color w:val="000000"/>
                <w:sz w:val="18"/>
                <w:szCs w:val="18"/>
                <w:lang w:eastAsia="cs-CZ"/>
              </w:rPr>
            </w:pPr>
            <w:r w:rsidRPr="00B927FE">
              <w:rPr>
                <w:rFonts w:eastAsia="Times New Roman" w:cstheme="minorHAnsi"/>
                <w:color w:val="000000"/>
                <w:sz w:val="18"/>
                <w:szCs w:val="18"/>
                <w:lang w:eastAsia="cs-CZ"/>
              </w:rPr>
              <w:t>159</w:t>
            </w:r>
          </w:p>
        </w:tc>
        <w:tc>
          <w:tcPr>
            <w:tcW w:w="805" w:type="dxa"/>
            <w:tcBorders>
              <w:top w:val="nil"/>
              <w:left w:val="nil"/>
              <w:bottom w:val="single" w:sz="12" w:space="0" w:color="auto"/>
              <w:right w:val="single" w:sz="12" w:space="0" w:color="auto"/>
            </w:tcBorders>
            <w:shd w:val="clear" w:color="auto" w:fill="auto"/>
            <w:noWrap/>
            <w:vAlign w:val="center"/>
            <w:hideMark/>
          </w:tcPr>
          <w:p w14:paraId="44094DB9" w14:textId="77777777" w:rsidR="00B927FE" w:rsidRPr="005E56CA" w:rsidRDefault="00B927FE" w:rsidP="00C62D35">
            <w:pPr>
              <w:spacing w:after="0" w:line="240" w:lineRule="auto"/>
              <w:ind w:right="57"/>
              <w:jc w:val="right"/>
              <w:rPr>
                <w:rFonts w:eastAsia="Times New Roman" w:cstheme="minorHAnsi"/>
                <w:b/>
                <w:color w:val="000000"/>
                <w:sz w:val="18"/>
                <w:szCs w:val="18"/>
                <w:lang w:eastAsia="cs-CZ"/>
              </w:rPr>
            </w:pPr>
            <w:r w:rsidRPr="005E56CA">
              <w:rPr>
                <w:rFonts w:eastAsia="Times New Roman" w:cstheme="minorHAnsi"/>
                <w:b/>
                <w:color w:val="000000"/>
                <w:sz w:val="18"/>
                <w:szCs w:val="18"/>
                <w:lang w:eastAsia="cs-CZ"/>
              </w:rPr>
              <w:t>407</w:t>
            </w:r>
          </w:p>
        </w:tc>
      </w:tr>
    </w:tbl>
    <w:p w14:paraId="49C99C25" w14:textId="0A275B53" w:rsidR="00B927FE" w:rsidRPr="00F4274A" w:rsidRDefault="00F4274A" w:rsidP="00C62D35">
      <w:pPr>
        <w:spacing w:before="40" w:after="0"/>
        <w:rPr>
          <w:rFonts w:cstheme="minorHAnsi"/>
          <w:sz w:val="20"/>
          <w:szCs w:val="20"/>
          <w:lang w:eastAsia="cs-CZ"/>
        </w:rPr>
      </w:pPr>
      <w:r w:rsidRPr="00C62D35">
        <w:rPr>
          <w:rFonts w:cstheme="minorHAnsi"/>
          <w:b/>
          <w:sz w:val="20"/>
          <w:szCs w:val="20"/>
          <w:lang w:eastAsia="cs-CZ"/>
        </w:rPr>
        <w:t>Zdroj:</w:t>
      </w:r>
      <w:r w:rsidRPr="00F4274A">
        <w:rPr>
          <w:rFonts w:cstheme="minorHAnsi"/>
          <w:sz w:val="20"/>
          <w:szCs w:val="20"/>
          <w:lang w:eastAsia="cs-CZ"/>
        </w:rPr>
        <w:t xml:space="preserve"> vypracoval NKÚ na základě dat poskytnutých GFŘ.</w:t>
      </w:r>
    </w:p>
    <w:sectPr w:rsidR="00B927FE" w:rsidRPr="00F4274A" w:rsidSect="00B927FE">
      <w:pgSz w:w="16838" w:h="11906" w:orient="landscape"/>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5EB36" w14:textId="77777777" w:rsidR="005257FF" w:rsidRDefault="005257FF">
      <w:pPr>
        <w:spacing w:after="0" w:line="240" w:lineRule="auto"/>
      </w:pPr>
      <w:r>
        <w:separator/>
      </w:r>
    </w:p>
    <w:p w14:paraId="739D5AF1" w14:textId="77777777" w:rsidR="005257FF" w:rsidRDefault="005257FF"/>
  </w:endnote>
  <w:endnote w:type="continuationSeparator" w:id="0">
    <w:p w14:paraId="5F8EE260" w14:textId="77777777" w:rsidR="005257FF" w:rsidRDefault="005257FF">
      <w:pPr>
        <w:spacing w:after="0" w:line="240" w:lineRule="auto"/>
      </w:pPr>
      <w:r>
        <w:continuationSeparator/>
      </w:r>
    </w:p>
    <w:p w14:paraId="078F5C1D" w14:textId="77777777" w:rsidR="005257FF" w:rsidRDefault="005257FF"/>
  </w:endnote>
  <w:endnote w:type="continuationNotice" w:id="1">
    <w:p w14:paraId="61BB85AF" w14:textId="77777777" w:rsidR="005257FF" w:rsidRDefault="00525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260763"/>
      <w:docPartObj>
        <w:docPartGallery w:val="Page Numbers (Bottom of Page)"/>
        <w:docPartUnique/>
      </w:docPartObj>
    </w:sdtPr>
    <w:sdtEndPr>
      <w:rPr>
        <w:rFonts w:ascii="Calibri" w:hAnsi="Calibri" w:cs="Calibri"/>
        <w:sz w:val="24"/>
        <w:szCs w:val="24"/>
      </w:rPr>
    </w:sdtEndPr>
    <w:sdtContent>
      <w:p w14:paraId="633C51CB" w14:textId="0EA63E07" w:rsidR="005257FF" w:rsidRPr="00FE168A" w:rsidRDefault="005257FF" w:rsidP="00FE168A">
        <w:pPr>
          <w:pStyle w:val="Zpat"/>
          <w:jc w:val="center"/>
          <w:rPr>
            <w:rFonts w:ascii="Calibri" w:hAnsi="Calibri" w:cs="Calibri"/>
            <w:sz w:val="24"/>
            <w:szCs w:val="24"/>
          </w:rPr>
        </w:pPr>
        <w:r w:rsidRPr="00FE168A">
          <w:rPr>
            <w:rFonts w:ascii="Calibri" w:hAnsi="Calibri" w:cs="Calibri"/>
            <w:sz w:val="24"/>
            <w:szCs w:val="24"/>
          </w:rPr>
          <w:fldChar w:fldCharType="begin"/>
        </w:r>
        <w:r w:rsidRPr="00FE168A">
          <w:rPr>
            <w:rFonts w:ascii="Calibri" w:hAnsi="Calibri" w:cs="Calibri"/>
            <w:sz w:val="24"/>
            <w:szCs w:val="24"/>
          </w:rPr>
          <w:instrText>PAGE   \* MERGEFORMAT</w:instrText>
        </w:r>
        <w:r w:rsidRPr="00FE168A">
          <w:rPr>
            <w:rFonts w:ascii="Calibri" w:hAnsi="Calibri" w:cs="Calibri"/>
            <w:sz w:val="24"/>
            <w:szCs w:val="24"/>
          </w:rPr>
          <w:fldChar w:fldCharType="separate"/>
        </w:r>
        <w:r w:rsidRPr="00FE168A">
          <w:rPr>
            <w:rFonts w:ascii="Calibri" w:hAnsi="Calibri" w:cs="Calibri"/>
            <w:noProof/>
            <w:sz w:val="24"/>
            <w:szCs w:val="24"/>
          </w:rPr>
          <w:t>22</w:t>
        </w:r>
        <w:r w:rsidRPr="00FE168A">
          <w:rPr>
            <w:rFonts w:ascii="Calibri" w:hAnsi="Calibri" w:cs="Calibr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038D6" w14:textId="77777777" w:rsidR="005257FF" w:rsidRDefault="005257FF" w:rsidP="004058E2">
      <w:pPr>
        <w:spacing w:after="0" w:line="240" w:lineRule="auto"/>
      </w:pPr>
      <w:r>
        <w:separator/>
      </w:r>
    </w:p>
  </w:footnote>
  <w:footnote w:type="continuationSeparator" w:id="0">
    <w:p w14:paraId="1FF5E07E" w14:textId="77777777" w:rsidR="005257FF" w:rsidRDefault="005257FF" w:rsidP="004058E2">
      <w:pPr>
        <w:spacing w:after="0" w:line="240" w:lineRule="auto"/>
      </w:pPr>
      <w:r>
        <w:continuationSeparator/>
      </w:r>
    </w:p>
    <w:p w14:paraId="36B2031D" w14:textId="77777777" w:rsidR="005257FF" w:rsidRDefault="005257FF"/>
  </w:footnote>
  <w:footnote w:type="continuationNotice" w:id="1">
    <w:p w14:paraId="1540E1E6" w14:textId="77777777" w:rsidR="005257FF" w:rsidRDefault="005257FF">
      <w:pPr>
        <w:spacing w:after="0" w:line="240" w:lineRule="auto"/>
      </w:pPr>
    </w:p>
  </w:footnote>
  <w:footnote w:id="2">
    <w:p w14:paraId="2EFA2212" w14:textId="128C1155" w:rsidR="005257FF" w:rsidRPr="00AB028C" w:rsidRDefault="005257FF" w:rsidP="00AB028C">
      <w:pPr>
        <w:pStyle w:val="Textpoznpodarou"/>
        <w:ind w:left="284" w:hanging="284"/>
        <w:jc w:val="both"/>
        <w:rPr>
          <w:rFonts w:ascii="Calibri" w:hAnsi="Calibri" w:cs="Calibri"/>
        </w:rPr>
      </w:pPr>
      <w:r w:rsidRPr="00AB028C">
        <w:rPr>
          <w:rStyle w:val="Znakapoznpodarou"/>
          <w:rFonts w:ascii="Calibri" w:hAnsi="Calibri" w:cs="Calibri"/>
        </w:rPr>
        <w:footnoteRef/>
      </w:r>
      <w:r w:rsidRPr="00AB028C">
        <w:rPr>
          <w:rFonts w:ascii="Calibri" w:hAnsi="Calibri" w:cs="Calibri"/>
        </w:rPr>
        <w:t xml:space="preserve"> </w:t>
      </w:r>
      <w:r>
        <w:rPr>
          <w:rFonts w:ascii="Calibri" w:hAnsi="Calibri" w:cs="Calibri"/>
        </w:rPr>
        <w:tab/>
      </w:r>
      <w:r w:rsidRPr="00AB028C">
        <w:rPr>
          <w:rFonts w:ascii="Calibri" w:hAnsi="Calibri" w:cs="Calibri"/>
        </w:rPr>
        <w:t xml:space="preserve">Směrnice Rady (EU) 2016/1164 ze dne 12. července 2016, kterou se stanoví pravidla proti praktikám vyhýbání se daňovým povinnostem, které mají přímý vliv na fungování vnitřního trhu, která byla v roce 2017 novelizovaná </w:t>
      </w:r>
      <w:r>
        <w:rPr>
          <w:rFonts w:ascii="Calibri" w:hAnsi="Calibri" w:cs="Calibri"/>
        </w:rPr>
        <w:t>s</w:t>
      </w:r>
      <w:r w:rsidRPr="00AB028C">
        <w:rPr>
          <w:rFonts w:ascii="Calibri" w:hAnsi="Calibri" w:cs="Calibri"/>
          <w:bCs/>
        </w:rPr>
        <w:t xml:space="preserve">měrnicí Rady (EU) 2017/952 ze dne 29. května 2017, kterou se mění směrnice (EU) 2016/1164, pokud jde o hybridní nesoulady s třetími zeměmi (dále také </w:t>
      </w:r>
      <w:r w:rsidRPr="00A40570">
        <w:rPr>
          <w:rFonts w:ascii="Calibri" w:hAnsi="Calibri" w:cs="Calibri"/>
          <w:bCs/>
        </w:rPr>
        <w:t>„</w:t>
      </w:r>
      <w:r w:rsidRPr="001341AE">
        <w:rPr>
          <w:rFonts w:ascii="Calibri" w:hAnsi="Calibri" w:cs="Calibri"/>
          <w:bCs/>
        </w:rPr>
        <w:t>směrnice</w:t>
      </w:r>
      <w:r w:rsidRPr="001341AE">
        <w:rPr>
          <w:rFonts w:ascii="Calibri" w:hAnsi="Calibri" w:cs="Calibri"/>
        </w:rPr>
        <w:t xml:space="preserve"> ATAD</w:t>
      </w:r>
      <w:r w:rsidRPr="00A40570">
        <w:rPr>
          <w:rFonts w:ascii="Calibri" w:hAnsi="Calibri" w:cs="Calibri"/>
        </w:rPr>
        <w:t>“</w:t>
      </w:r>
      <w:r w:rsidRPr="00AB028C">
        <w:rPr>
          <w:rFonts w:ascii="Calibri" w:hAnsi="Calibri" w:cs="Calibri"/>
        </w:rPr>
        <w:t>).</w:t>
      </w:r>
    </w:p>
  </w:footnote>
  <w:footnote w:id="3">
    <w:p w14:paraId="4CF9D5E5" w14:textId="74317130" w:rsidR="005257FF" w:rsidRPr="00AB028C" w:rsidRDefault="005257FF" w:rsidP="00AB028C">
      <w:pPr>
        <w:pStyle w:val="Textpoznpodarou"/>
        <w:ind w:left="284" w:hanging="284"/>
        <w:jc w:val="both"/>
        <w:rPr>
          <w:rFonts w:ascii="Calibri" w:hAnsi="Calibri" w:cs="Calibri"/>
        </w:rPr>
      </w:pPr>
      <w:r w:rsidRPr="00AB028C">
        <w:rPr>
          <w:rStyle w:val="Znakapoznpodarou"/>
          <w:rFonts w:ascii="Calibri" w:hAnsi="Calibri" w:cs="Calibri"/>
        </w:rPr>
        <w:footnoteRef/>
      </w:r>
      <w:r w:rsidRPr="00AB028C">
        <w:rPr>
          <w:rFonts w:ascii="Calibri" w:hAnsi="Calibri" w:cs="Calibri"/>
        </w:rPr>
        <w:t xml:space="preserve"> </w:t>
      </w:r>
      <w:r>
        <w:rPr>
          <w:rFonts w:ascii="Calibri" w:hAnsi="Calibri" w:cs="Calibri"/>
        </w:rPr>
        <w:tab/>
      </w:r>
      <w:r w:rsidRPr="00AB028C">
        <w:rPr>
          <w:rFonts w:ascii="Calibri" w:hAnsi="Calibri" w:cs="Calibri"/>
        </w:rPr>
        <w:t xml:space="preserve">Směrnice Rady (EU) 2018/822 ze dne 25. května 2018, kterou se mění směrnice 2011/16/EU, pokud jde o povinnou automatickou výměnu informací v oblasti daní ve vztahu k přeshraničním uspořádáním, která se mají oznamovat (dále také </w:t>
      </w:r>
      <w:r w:rsidRPr="00A40570">
        <w:rPr>
          <w:rFonts w:ascii="Calibri" w:hAnsi="Calibri" w:cs="Calibri"/>
        </w:rPr>
        <w:t>„</w:t>
      </w:r>
      <w:r w:rsidRPr="001341AE">
        <w:rPr>
          <w:rFonts w:ascii="Calibri" w:hAnsi="Calibri" w:cs="Calibri"/>
        </w:rPr>
        <w:t>směrnice DAC6</w:t>
      </w:r>
      <w:r w:rsidRPr="00A40570">
        <w:rPr>
          <w:rFonts w:ascii="Calibri" w:hAnsi="Calibri" w:cs="Calibri"/>
        </w:rPr>
        <w:t>“</w:t>
      </w:r>
      <w:r w:rsidRPr="00AB028C">
        <w:rPr>
          <w:rFonts w:ascii="Calibri" w:hAnsi="Calibri" w:cs="Calibri"/>
        </w:rPr>
        <w:t>).</w:t>
      </w:r>
    </w:p>
  </w:footnote>
  <w:footnote w:id="4">
    <w:p w14:paraId="278F855D" w14:textId="37096D3D" w:rsidR="005257FF" w:rsidRPr="00AB028C" w:rsidRDefault="005257FF" w:rsidP="00AB028C">
      <w:pPr>
        <w:pStyle w:val="Textpoznpodarou"/>
        <w:ind w:left="284" w:hanging="284"/>
        <w:jc w:val="both"/>
        <w:rPr>
          <w:rFonts w:ascii="Calibri" w:hAnsi="Calibri" w:cs="Calibri"/>
        </w:rPr>
      </w:pPr>
      <w:r w:rsidRPr="00AB028C">
        <w:rPr>
          <w:rStyle w:val="Znakapoznpodarou"/>
          <w:rFonts w:ascii="Calibri" w:hAnsi="Calibri" w:cs="Calibri"/>
        </w:rPr>
        <w:footnoteRef/>
      </w:r>
      <w:r w:rsidRPr="00AB028C">
        <w:rPr>
          <w:rFonts w:ascii="Calibri" w:hAnsi="Calibri" w:cs="Calibri"/>
        </w:rPr>
        <w:t> </w:t>
      </w:r>
      <w:r>
        <w:rPr>
          <w:rFonts w:ascii="Calibri" w:hAnsi="Calibri" w:cs="Calibri"/>
        </w:rPr>
        <w:tab/>
      </w:r>
      <w:r w:rsidRPr="00AB028C">
        <w:rPr>
          <w:rFonts w:ascii="Calibri" w:hAnsi="Calibri" w:cs="Calibri"/>
        </w:rPr>
        <w:t>Jedná se o pět opatření zavedených v souvislosti s implementací směrnic ATAD a výměnu informací o přeshraničních uspořádáních v rámci pátého režimu automatické výměny informací dle směrnice DAC6.</w:t>
      </w:r>
    </w:p>
  </w:footnote>
  <w:footnote w:id="5">
    <w:p w14:paraId="47FC0C17" w14:textId="3E960DBA" w:rsidR="005257FF" w:rsidRPr="00AB028C" w:rsidRDefault="005257FF" w:rsidP="00AB028C">
      <w:pPr>
        <w:pStyle w:val="Textpoznpodarou"/>
        <w:ind w:left="284" w:hanging="284"/>
        <w:jc w:val="both"/>
        <w:rPr>
          <w:rFonts w:ascii="Calibri" w:hAnsi="Calibri" w:cs="Calibri"/>
        </w:rPr>
      </w:pPr>
      <w:r w:rsidRPr="00AB028C">
        <w:rPr>
          <w:rStyle w:val="Znakapoznpodarou"/>
          <w:rFonts w:ascii="Calibri" w:hAnsi="Calibri" w:cs="Calibri"/>
        </w:rPr>
        <w:footnoteRef/>
      </w:r>
      <w:r w:rsidRPr="00AB028C">
        <w:rPr>
          <w:rFonts w:ascii="Calibri" w:hAnsi="Calibri" w:cs="Calibri"/>
        </w:rPr>
        <w:t xml:space="preserve"> </w:t>
      </w:r>
      <w:r>
        <w:rPr>
          <w:rFonts w:ascii="Calibri" w:hAnsi="Calibri" w:cs="Calibri"/>
        </w:rPr>
        <w:tab/>
      </w:r>
      <w:r w:rsidRPr="00AB028C">
        <w:rPr>
          <w:rFonts w:ascii="Calibri" w:hAnsi="Calibri" w:cs="Calibri"/>
        </w:rPr>
        <w:t>Zákon České národní rady č. 586/1992 Sb., o daních z příjmů.</w:t>
      </w:r>
    </w:p>
  </w:footnote>
  <w:footnote w:id="6">
    <w:p w14:paraId="2B6896E3" w14:textId="1F86E0D4" w:rsidR="005257FF" w:rsidRPr="00AB028C" w:rsidRDefault="005257FF" w:rsidP="00AB028C">
      <w:pPr>
        <w:pStyle w:val="Textpoznpodarou"/>
        <w:ind w:left="284" w:hanging="284"/>
        <w:jc w:val="both"/>
        <w:rPr>
          <w:rFonts w:ascii="Calibri" w:hAnsi="Calibri" w:cs="Calibri"/>
        </w:rPr>
      </w:pPr>
      <w:r w:rsidRPr="00AB028C">
        <w:rPr>
          <w:rStyle w:val="Znakapoznpodarou"/>
          <w:rFonts w:ascii="Calibri" w:hAnsi="Calibri" w:cs="Calibri"/>
        </w:rPr>
        <w:footnoteRef/>
      </w:r>
      <w:r w:rsidRPr="00AB028C">
        <w:rPr>
          <w:rFonts w:ascii="Calibri" w:hAnsi="Calibri" w:cs="Calibri"/>
        </w:rPr>
        <w:t xml:space="preserve"> </w:t>
      </w:r>
      <w:r>
        <w:rPr>
          <w:rFonts w:ascii="Calibri" w:hAnsi="Calibri" w:cs="Calibri"/>
        </w:rPr>
        <w:tab/>
      </w:r>
      <w:r w:rsidRPr="00AB028C">
        <w:rPr>
          <w:rFonts w:ascii="Calibri" w:hAnsi="Calibri" w:cs="Calibri"/>
        </w:rPr>
        <w:t xml:space="preserve">Oznámení o oznamovaném přeshraničním uspořádání </w:t>
      </w:r>
      <w:r w:rsidRPr="00AB028C">
        <w:rPr>
          <w:rFonts w:ascii="Calibri" w:hAnsi="Calibri" w:cs="Calibri"/>
          <w:lang w:eastAsia="cs-CZ"/>
        </w:rPr>
        <w:t xml:space="preserve">(dále také </w:t>
      </w:r>
      <w:r w:rsidRPr="00AD08F5">
        <w:rPr>
          <w:rFonts w:ascii="Calibri" w:hAnsi="Calibri" w:cs="Calibri"/>
          <w:lang w:eastAsia="cs-CZ"/>
        </w:rPr>
        <w:t>„</w:t>
      </w:r>
      <w:r w:rsidRPr="00814652">
        <w:rPr>
          <w:rFonts w:ascii="Calibri" w:hAnsi="Calibri" w:cs="Calibri"/>
          <w:lang w:eastAsia="cs-CZ"/>
        </w:rPr>
        <w:t>oznámení DAC6</w:t>
      </w:r>
      <w:r w:rsidRPr="00AD08F5">
        <w:rPr>
          <w:rFonts w:ascii="Calibri" w:hAnsi="Calibri" w:cs="Calibri"/>
          <w:lang w:eastAsia="cs-CZ"/>
        </w:rPr>
        <w:t>“</w:t>
      </w:r>
      <w:r w:rsidRPr="00AB028C">
        <w:rPr>
          <w:rFonts w:ascii="Calibri" w:hAnsi="Calibri" w:cs="Calibri"/>
          <w:lang w:eastAsia="cs-CZ"/>
        </w:rPr>
        <w:t>).</w:t>
      </w:r>
    </w:p>
  </w:footnote>
  <w:footnote w:id="7">
    <w:p w14:paraId="667155B5" w14:textId="1499B567" w:rsidR="005257FF" w:rsidRPr="003E7FAE" w:rsidRDefault="005257FF" w:rsidP="003E7FAE">
      <w:pPr>
        <w:pStyle w:val="Textpoznpodarou"/>
        <w:ind w:left="284" w:hanging="284"/>
        <w:rPr>
          <w:rFonts w:ascii="Calibri" w:hAnsi="Calibri" w:cs="Calibri"/>
        </w:rPr>
      </w:pPr>
      <w:r w:rsidRPr="003E7FAE">
        <w:rPr>
          <w:rStyle w:val="Znakapoznpodarou"/>
          <w:rFonts w:ascii="Calibri" w:hAnsi="Calibri" w:cs="Calibri"/>
        </w:rPr>
        <w:footnoteRef/>
      </w:r>
      <w:r w:rsidRPr="003E7FAE">
        <w:rPr>
          <w:rFonts w:ascii="Calibri" w:hAnsi="Calibri" w:cs="Calibri"/>
        </w:rPr>
        <w:t> </w:t>
      </w:r>
      <w:r w:rsidRPr="003E7FAE">
        <w:rPr>
          <w:rFonts w:ascii="Calibri" w:hAnsi="Calibri" w:cs="Calibri"/>
        </w:rPr>
        <w:tab/>
      </w:r>
      <w:r w:rsidRPr="00D07B96">
        <w:rPr>
          <w:rFonts w:ascii="Calibri" w:hAnsi="Calibri" w:cs="Calibri"/>
          <w:i/>
        </w:rPr>
        <w:t>Automatizovaný daňový informační systém</w:t>
      </w:r>
      <w:r w:rsidRPr="003E7FAE">
        <w:rPr>
          <w:rFonts w:ascii="Calibri" w:hAnsi="Calibri" w:cs="Calibri"/>
        </w:rPr>
        <w:t xml:space="preserve"> (dále také </w:t>
      </w:r>
      <w:r w:rsidRPr="00814652">
        <w:rPr>
          <w:rFonts w:ascii="Calibri" w:hAnsi="Calibri" w:cs="Calibri"/>
          <w:iCs/>
        </w:rPr>
        <w:t>„ADIS</w:t>
      </w:r>
      <w:r w:rsidRPr="00346A32">
        <w:rPr>
          <w:rFonts w:ascii="Calibri" w:hAnsi="Calibri" w:cs="Calibri"/>
        </w:rPr>
        <w:t>“</w:t>
      </w:r>
      <w:r w:rsidRPr="003E7FAE">
        <w:rPr>
          <w:rFonts w:ascii="Calibri" w:hAnsi="Calibri" w:cs="Calibri"/>
        </w:rPr>
        <w:t>).</w:t>
      </w:r>
    </w:p>
  </w:footnote>
  <w:footnote w:id="8">
    <w:p w14:paraId="24F1F964" w14:textId="52A706AA" w:rsidR="005257FF" w:rsidRPr="003E7FAE" w:rsidRDefault="005257FF" w:rsidP="003E7FAE">
      <w:pPr>
        <w:pStyle w:val="Textpoznpodarou"/>
        <w:ind w:left="284" w:hanging="284"/>
        <w:jc w:val="both"/>
        <w:rPr>
          <w:rFonts w:ascii="Calibri" w:hAnsi="Calibri" w:cs="Calibri"/>
        </w:rPr>
      </w:pPr>
      <w:r w:rsidRPr="003E7FAE">
        <w:rPr>
          <w:rStyle w:val="Znakapoznpodarou"/>
          <w:rFonts w:ascii="Calibri" w:hAnsi="Calibri" w:cs="Calibri"/>
        </w:rPr>
        <w:footnoteRef/>
      </w:r>
      <w:r w:rsidRPr="003E7FAE">
        <w:rPr>
          <w:rFonts w:ascii="Calibri" w:hAnsi="Calibri" w:cs="Calibri"/>
        </w:rPr>
        <w:t xml:space="preserve"> </w:t>
      </w:r>
      <w:r w:rsidRPr="003E7FAE">
        <w:rPr>
          <w:rFonts w:ascii="Calibri" w:hAnsi="Calibri" w:cs="Calibri"/>
        </w:rPr>
        <w:tab/>
        <w:t>Zákon č. 164/2013 Sb., o mezinárodní spolupráci při správě daní a o změně dalších souvisejících zákonů</w:t>
      </w:r>
      <w:r w:rsidRPr="003E7FAE">
        <w:rPr>
          <w:rFonts w:ascii="Calibri" w:hAnsi="Calibri" w:cs="Calibri"/>
          <w:i/>
          <w:iCs/>
        </w:rPr>
        <w:t>.</w:t>
      </w:r>
    </w:p>
  </w:footnote>
  <w:footnote w:id="9">
    <w:p w14:paraId="71F935BC" w14:textId="6CB7997F" w:rsidR="005257FF" w:rsidRPr="003E7FAE" w:rsidRDefault="005257FF" w:rsidP="003E7FAE">
      <w:pPr>
        <w:pStyle w:val="Textpoznpodarou"/>
        <w:ind w:left="284" w:hanging="284"/>
        <w:jc w:val="both"/>
        <w:rPr>
          <w:rFonts w:ascii="Calibri" w:hAnsi="Calibri" w:cs="Calibri"/>
        </w:rPr>
      </w:pPr>
      <w:r w:rsidRPr="003E7FAE">
        <w:rPr>
          <w:rStyle w:val="Znakapoznpodarou"/>
          <w:rFonts w:ascii="Calibri" w:hAnsi="Calibri" w:cs="Calibri"/>
        </w:rPr>
        <w:footnoteRef/>
      </w:r>
      <w:r w:rsidRPr="003E7FAE">
        <w:rPr>
          <w:rFonts w:ascii="Calibri" w:hAnsi="Calibri" w:cs="Calibri"/>
        </w:rPr>
        <w:t xml:space="preserve"> </w:t>
      </w:r>
      <w:r w:rsidRPr="003E7FAE">
        <w:rPr>
          <w:rFonts w:ascii="Calibri" w:hAnsi="Calibri" w:cs="Calibri"/>
        </w:rPr>
        <w:tab/>
        <w:t>Zákon č. 243/2000 Sb., o rozpočtovém určení výnosů některých daní územním samosprávným celkům a některým státním fondům (zákon o rozpočtovém určení daní).</w:t>
      </w:r>
    </w:p>
  </w:footnote>
  <w:footnote w:id="10">
    <w:p w14:paraId="008F6749" w14:textId="1B2E33FE" w:rsidR="005257FF" w:rsidRPr="00BF76EC" w:rsidRDefault="005257FF" w:rsidP="00BF76EC">
      <w:pPr>
        <w:pStyle w:val="Textpoznpodarou"/>
        <w:ind w:left="284" w:hanging="284"/>
        <w:jc w:val="both"/>
        <w:rPr>
          <w:rFonts w:ascii="Calibri" w:hAnsi="Calibri" w:cs="Calibri"/>
        </w:rPr>
      </w:pPr>
      <w:r w:rsidRPr="00BF76EC">
        <w:rPr>
          <w:rStyle w:val="Znakapoznpodarou"/>
          <w:rFonts w:ascii="Calibri" w:hAnsi="Calibri" w:cs="Calibri"/>
        </w:rPr>
        <w:footnoteRef/>
      </w:r>
      <w:r w:rsidRPr="00BF76EC">
        <w:rPr>
          <w:rFonts w:ascii="Calibri" w:hAnsi="Calibri" w:cs="Calibri"/>
        </w:rPr>
        <w:t xml:space="preserve"> </w:t>
      </w:r>
      <w:r>
        <w:rPr>
          <w:rFonts w:ascii="Calibri" w:hAnsi="Calibri" w:cs="Calibri"/>
        </w:rPr>
        <w:tab/>
      </w:r>
      <w:r w:rsidRPr="00BF76EC">
        <w:rPr>
          <w:rFonts w:ascii="Calibri" w:hAnsi="Calibri" w:cs="Calibri"/>
        </w:rPr>
        <w:t>Z</w:t>
      </w:r>
      <w:r w:rsidRPr="00BF76EC">
        <w:rPr>
          <w:rFonts w:ascii="Calibri" w:hAnsi="Calibri" w:cs="Calibri"/>
          <w:color w:val="000000" w:themeColor="text1"/>
        </w:rPr>
        <w:t>ákon č. 80/2019 Sb., kterým se mění některé zákony v oblasti daní a některé další zákony.</w:t>
      </w:r>
    </w:p>
  </w:footnote>
  <w:footnote w:id="11">
    <w:p w14:paraId="187A03E9" w14:textId="076DA2EC" w:rsidR="005257FF" w:rsidRPr="00BF76EC" w:rsidRDefault="005257FF" w:rsidP="00BF76EC">
      <w:pPr>
        <w:pStyle w:val="Textpoznpodarou"/>
        <w:ind w:left="284" w:hanging="284"/>
        <w:jc w:val="both"/>
        <w:rPr>
          <w:rFonts w:ascii="Calibri" w:hAnsi="Calibri" w:cs="Calibri"/>
        </w:rPr>
      </w:pPr>
      <w:r w:rsidRPr="00BF76EC">
        <w:rPr>
          <w:rStyle w:val="Znakapoznpodarou"/>
          <w:rFonts w:ascii="Calibri" w:hAnsi="Calibri" w:cs="Calibri"/>
        </w:rPr>
        <w:footnoteRef/>
      </w:r>
      <w:r w:rsidRPr="00BF76EC">
        <w:rPr>
          <w:rFonts w:ascii="Calibri" w:hAnsi="Calibri" w:cs="Calibri"/>
        </w:rPr>
        <w:t xml:space="preserve"> </w:t>
      </w:r>
      <w:r>
        <w:rPr>
          <w:rFonts w:ascii="Calibri" w:hAnsi="Calibri" w:cs="Calibri"/>
        </w:rPr>
        <w:tab/>
      </w:r>
      <w:r w:rsidRPr="00BF76EC">
        <w:rPr>
          <w:rFonts w:ascii="Calibri" w:hAnsi="Calibri" w:cs="Calibri"/>
        </w:rPr>
        <w:t>Zákon č. 343/2020 Sb., kterým se mění některé zákony v souvislosti s implementací daňových předpisů Evropské unie a v oblasti zamezení dvojímu zdanění.</w:t>
      </w:r>
    </w:p>
  </w:footnote>
  <w:footnote w:id="12">
    <w:p w14:paraId="1BF4B174" w14:textId="782B18E0" w:rsidR="005257FF" w:rsidRPr="00BF76EC" w:rsidRDefault="005257FF" w:rsidP="00BF76EC">
      <w:pPr>
        <w:pStyle w:val="Textpoznpodarou"/>
        <w:ind w:left="284" w:hanging="284"/>
        <w:jc w:val="both"/>
        <w:rPr>
          <w:rFonts w:ascii="Calibri" w:hAnsi="Calibri" w:cs="Calibri"/>
        </w:rPr>
      </w:pPr>
      <w:r w:rsidRPr="00BF76EC">
        <w:rPr>
          <w:rStyle w:val="Znakapoznpodarou"/>
          <w:rFonts w:ascii="Calibri" w:hAnsi="Calibri" w:cs="Calibri"/>
        </w:rPr>
        <w:footnoteRef/>
      </w:r>
      <w:r w:rsidRPr="00BF76EC">
        <w:rPr>
          <w:rFonts w:ascii="Calibri" w:hAnsi="Calibri" w:cs="Calibri"/>
        </w:rPr>
        <w:t xml:space="preserve"> </w:t>
      </w:r>
      <w:r>
        <w:rPr>
          <w:rFonts w:ascii="Calibri" w:hAnsi="Calibri" w:cs="Calibri"/>
        </w:rPr>
        <w:tab/>
      </w:r>
      <w:r w:rsidRPr="00BF76EC">
        <w:rPr>
          <w:rFonts w:ascii="Calibri" w:hAnsi="Calibri" w:cs="Calibri"/>
        </w:rPr>
        <w:t>Někteří daňoví poplatníci v současné době mohou používat složitá, někdy umělá opatření za účelem přemístění základu daní do jiné země v Evropské unii nebo mimo ni. Využívají při tom rozdílů mezi různými vnitrostátními zákony s cílem zajistit, aby některé položky příjmů nebyly zdaněny nikde, nebo využívají rozdíly v daňových sazbách. Tento problém se označuje jako</w:t>
      </w:r>
      <w:r>
        <w:rPr>
          <w:rFonts w:ascii="Calibri" w:hAnsi="Calibri" w:cs="Calibri"/>
        </w:rPr>
        <w:t xml:space="preserve"> </w:t>
      </w:r>
      <w:r w:rsidRPr="00BF76EC">
        <w:rPr>
          <w:rFonts w:ascii="Calibri" w:hAnsi="Calibri" w:cs="Calibri"/>
        </w:rPr>
        <w:t>agresivní daňové plánování. (</w:t>
      </w:r>
      <w:r w:rsidRPr="00BF76EC">
        <w:rPr>
          <w:rFonts w:ascii="Calibri" w:eastAsiaTheme="majorEastAsia" w:hAnsi="Calibri" w:cs="Calibri"/>
        </w:rPr>
        <w:t xml:space="preserve">Evropská unie. EUR-Lex. Online. Dostupné z </w:t>
      </w:r>
      <w:hyperlink r:id="rId1" w:history="1">
        <w:r w:rsidRPr="00BF76EC">
          <w:rPr>
            <w:rStyle w:val="Hypertextovodkaz"/>
            <w:rFonts w:ascii="Calibri" w:eastAsiaTheme="majorEastAsia" w:hAnsi="Calibri" w:cs="Calibri"/>
          </w:rPr>
          <w:t>https://eur-lex.europa.eu/CS/legal-content/summary/aggressive-tax-planning.html</w:t>
        </w:r>
      </w:hyperlink>
      <w:r w:rsidRPr="00BF76EC">
        <w:rPr>
          <w:rFonts w:ascii="Calibri" w:eastAsiaTheme="majorEastAsia" w:hAnsi="Calibri" w:cs="Calibri"/>
        </w:rPr>
        <w:t xml:space="preserve"> [citováno 27. 8. 2024]</w:t>
      </w:r>
      <w:r w:rsidRPr="00BF76EC">
        <w:rPr>
          <w:rFonts w:ascii="Calibri" w:hAnsi="Calibri" w:cs="Calibri"/>
        </w:rPr>
        <w:t>).</w:t>
      </w:r>
    </w:p>
  </w:footnote>
  <w:footnote w:id="13">
    <w:p w14:paraId="154869C6" w14:textId="3BFBDEEB" w:rsidR="005257FF" w:rsidRPr="00C37D67" w:rsidRDefault="005257FF" w:rsidP="000119C8">
      <w:pPr>
        <w:pStyle w:val="Textpoznpodarou"/>
        <w:ind w:left="284" w:hanging="284"/>
        <w:jc w:val="both"/>
        <w:rPr>
          <w:rFonts w:asciiTheme="minorHAnsi" w:hAnsiTheme="minorHAnsi" w:cstheme="minorHAnsi"/>
        </w:rPr>
      </w:pPr>
      <w:r w:rsidRPr="00C37D67">
        <w:rPr>
          <w:rStyle w:val="Znakapoznpodarou"/>
          <w:rFonts w:asciiTheme="minorHAnsi" w:hAnsiTheme="minorHAnsi" w:cstheme="minorHAnsi"/>
        </w:rPr>
        <w:footnoteRef/>
      </w:r>
      <w:r w:rsidRPr="00C37D67" w:rsidDel="00145FE0">
        <w:rPr>
          <w:rFonts w:asciiTheme="minorHAnsi" w:hAnsiTheme="minorHAnsi" w:cstheme="minorHAnsi"/>
        </w:rPr>
        <w:t xml:space="preserve"> </w:t>
      </w:r>
      <w:r>
        <w:rPr>
          <w:rFonts w:asciiTheme="minorHAnsi" w:hAnsiTheme="minorHAnsi" w:cstheme="minorHAnsi"/>
        </w:rPr>
        <w:tab/>
      </w:r>
      <w:proofErr w:type="spellStart"/>
      <w:r w:rsidRPr="00814652">
        <w:rPr>
          <w:rFonts w:asciiTheme="minorHAnsi" w:hAnsiTheme="minorHAnsi" w:cstheme="minorHAnsi"/>
          <w:i/>
        </w:rPr>
        <w:t>Common</w:t>
      </w:r>
      <w:proofErr w:type="spellEnd"/>
      <w:r w:rsidRPr="00814652">
        <w:rPr>
          <w:rFonts w:asciiTheme="minorHAnsi" w:hAnsiTheme="minorHAnsi" w:cstheme="minorHAnsi"/>
          <w:i/>
        </w:rPr>
        <w:t xml:space="preserve"> Reporting Standard</w:t>
      </w:r>
      <w:r w:rsidRPr="00C37D67">
        <w:rPr>
          <w:rFonts w:asciiTheme="minorHAnsi" w:hAnsiTheme="minorHAnsi" w:cstheme="minorHAnsi"/>
        </w:rPr>
        <w:t xml:space="preserve"> týkající se </w:t>
      </w:r>
      <w:r>
        <w:rPr>
          <w:rFonts w:asciiTheme="minorHAnsi" w:hAnsiTheme="minorHAnsi" w:cstheme="minorHAnsi"/>
        </w:rPr>
        <w:t xml:space="preserve">výměny </w:t>
      </w:r>
      <w:r w:rsidRPr="00C37D67">
        <w:rPr>
          <w:rFonts w:asciiTheme="minorHAnsi" w:hAnsiTheme="minorHAnsi" w:cstheme="minorHAnsi"/>
        </w:rPr>
        <w:t>infor</w:t>
      </w:r>
      <w:r>
        <w:rPr>
          <w:rFonts w:asciiTheme="minorHAnsi" w:hAnsiTheme="minorHAnsi" w:cstheme="minorHAnsi"/>
        </w:rPr>
        <w:t>ma</w:t>
      </w:r>
      <w:r w:rsidRPr="00C37D67">
        <w:rPr>
          <w:rFonts w:asciiTheme="minorHAnsi" w:hAnsiTheme="minorHAnsi" w:cstheme="minorHAnsi"/>
        </w:rPr>
        <w:t>cí o fina</w:t>
      </w:r>
      <w:r>
        <w:rPr>
          <w:rFonts w:asciiTheme="minorHAnsi" w:hAnsiTheme="minorHAnsi" w:cstheme="minorHAnsi"/>
        </w:rPr>
        <w:t>n</w:t>
      </w:r>
      <w:r w:rsidRPr="00C37D67">
        <w:rPr>
          <w:rFonts w:asciiTheme="minorHAnsi" w:hAnsiTheme="minorHAnsi" w:cstheme="minorHAnsi"/>
        </w:rPr>
        <w:t>čních účtech získávaných od finančních institucí.</w:t>
      </w:r>
    </w:p>
  </w:footnote>
  <w:footnote w:id="14">
    <w:p w14:paraId="160E9CB9" w14:textId="5C600804" w:rsidR="005257FF" w:rsidRPr="00E46070" w:rsidRDefault="005257FF" w:rsidP="00BF76EC">
      <w:pPr>
        <w:pStyle w:val="Textpoznpodarou"/>
        <w:ind w:left="284" w:hanging="284"/>
        <w:rPr>
          <w:rFonts w:asciiTheme="minorHAnsi" w:hAnsiTheme="minorHAnsi" w:cstheme="minorHAnsi"/>
        </w:rPr>
      </w:pPr>
      <w:r w:rsidRPr="00E46070">
        <w:rPr>
          <w:rStyle w:val="Znakapoznpodarou"/>
          <w:rFonts w:asciiTheme="minorHAnsi" w:hAnsiTheme="minorHAnsi" w:cstheme="minorHAnsi"/>
        </w:rPr>
        <w:footnoteRef/>
      </w:r>
      <w:r w:rsidRPr="00E46070">
        <w:rPr>
          <w:rFonts w:asciiTheme="minorHAnsi" w:hAnsiTheme="minorHAnsi" w:cstheme="minorHAnsi"/>
        </w:rPr>
        <w:t xml:space="preserve"> </w:t>
      </w:r>
      <w:r>
        <w:rPr>
          <w:rFonts w:asciiTheme="minorHAnsi" w:hAnsiTheme="minorHAnsi" w:cstheme="minorHAnsi"/>
        </w:rPr>
        <w:tab/>
      </w:r>
      <w:r w:rsidRPr="00E46070">
        <w:rPr>
          <w:rFonts w:asciiTheme="minorHAnsi" w:hAnsiTheme="minorHAnsi" w:cstheme="minorHAnsi"/>
        </w:rPr>
        <w:t>Organizace pro hospodářskou spolupráci a rozvoj</w:t>
      </w:r>
      <w:r>
        <w:rPr>
          <w:rFonts w:asciiTheme="minorHAnsi" w:hAnsiTheme="minorHAnsi" w:cstheme="minorHAnsi"/>
        </w:rPr>
        <w:t>.</w:t>
      </w:r>
    </w:p>
  </w:footnote>
  <w:footnote w:id="15">
    <w:p w14:paraId="499F217D" w14:textId="6B20737E" w:rsidR="005257FF" w:rsidRPr="001A21D5" w:rsidRDefault="005257FF" w:rsidP="00BF76EC">
      <w:pPr>
        <w:pStyle w:val="Textpoznpodarou"/>
        <w:ind w:left="284" w:hanging="284"/>
        <w:jc w:val="both"/>
        <w:rPr>
          <w:rFonts w:asciiTheme="minorHAnsi" w:hAnsiTheme="minorHAnsi" w:cstheme="minorHAnsi"/>
        </w:rPr>
      </w:pPr>
      <w:r w:rsidRPr="002B7CF6">
        <w:rPr>
          <w:rStyle w:val="Znakapoznpodarou"/>
          <w:rFonts w:asciiTheme="minorHAnsi" w:hAnsiTheme="minorHAnsi" w:cstheme="minorHAnsi"/>
        </w:rPr>
        <w:footnoteRef/>
      </w:r>
      <w:r w:rsidRPr="002B7CF6">
        <w:rPr>
          <w:rFonts w:asciiTheme="minorHAnsi" w:hAnsiTheme="minorHAnsi" w:cstheme="minorHAnsi"/>
        </w:rPr>
        <w:t xml:space="preserve"> </w:t>
      </w:r>
      <w:r>
        <w:rPr>
          <w:rFonts w:asciiTheme="minorHAnsi" w:hAnsiTheme="minorHAnsi" w:cstheme="minorHAnsi"/>
        </w:rPr>
        <w:tab/>
      </w:r>
      <w:r w:rsidRPr="001A21D5">
        <w:rPr>
          <w:rFonts w:asciiTheme="minorHAnsi" w:hAnsiTheme="minorHAnsi" w:cstheme="minorHAnsi"/>
        </w:rPr>
        <w:t>Důvodová zpráva k zákonu č. 80/2019 Sb. uvádí předpokládaný dopad 0,2 mld. Kč na úrovni státního rozpočtu.</w:t>
      </w:r>
    </w:p>
  </w:footnote>
  <w:footnote w:id="16">
    <w:p w14:paraId="78D4840C" w14:textId="53832720" w:rsidR="005257FF" w:rsidRPr="00D343F3" w:rsidRDefault="005257FF" w:rsidP="00BF76EC">
      <w:pPr>
        <w:pStyle w:val="Textpoznpodarou"/>
        <w:ind w:left="284" w:hanging="284"/>
        <w:rPr>
          <w:rFonts w:asciiTheme="minorHAnsi" w:hAnsiTheme="minorHAnsi" w:cstheme="minorHAnsi"/>
        </w:rPr>
      </w:pPr>
      <w:r w:rsidRPr="00D343F3">
        <w:rPr>
          <w:rStyle w:val="Znakapoznpodarou"/>
          <w:rFonts w:asciiTheme="minorHAnsi" w:hAnsiTheme="minorHAnsi" w:cstheme="minorHAnsi"/>
        </w:rPr>
        <w:footnoteRef/>
      </w:r>
      <w:r w:rsidRPr="00D343F3">
        <w:rPr>
          <w:rFonts w:asciiTheme="minorHAnsi" w:hAnsiTheme="minorHAnsi" w:cstheme="minorHAnsi"/>
        </w:rPr>
        <w:t xml:space="preserve"> </w:t>
      </w:r>
      <w:r>
        <w:rPr>
          <w:rFonts w:asciiTheme="minorHAnsi" w:hAnsiTheme="minorHAnsi" w:cstheme="minorHAnsi"/>
        </w:rPr>
        <w:tab/>
      </w:r>
      <w:r w:rsidRPr="00D343F3">
        <w:rPr>
          <w:rFonts w:asciiTheme="minorHAnsi" w:hAnsiTheme="minorHAnsi" w:cstheme="minorHAnsi"/>
        </w:rPr>
        <w:t xml:space="preserve">Viz </w:t>
      </w:r>
      <w:r w:rsidRPr="00D343F3">
        <w:rPr>
          <w:rFonts w:asciiTheme="minorHAnsi" w:hAnsiTheme="minorHAnsi" w:cstheme="minorHAnsi"/>
          <w:bCs/>
          <w:i/>
        </w:rPr>
        <w:t>Metodika přezkumu účinnosti právních předpisů (ex post RIA)</w:t>
      </w:r>
      <w:r>
        <w:rPr>
          <w:rFonts w:ascii="Calibri" w:hAnsi="Calibri" w:cstheme="minorHAnsi"/>
        </w:rPr>
        <w:t xml:space="preserve"> dostupná z: Úřad vlády České republiky. Online. Dostupné z </w:t>
      </w:r>
      <w:hyperlink r:id="rId2" w:history="1">
        <w:r w:rsidRPr="00906FDC">
          <w:rPr>
            <w:rStyle w:val="Hypertextovodkaz"/>
            <w:rFonts w:ascii="Calibri" w:hAnsi="Calibri" w:cstheme="minorHAnsi"/>
          </w:rPr>
          <w:t>https://ria.vlada.cz/zverejnena-metodika-k-ex-post-ria/</w:t>
        </w:r>
      </w:hyperlink>
      <w:r w:rsidRPr="00686D99">
        <w:rPr>
          <w:rFonts w:ascii="Calibri" w:hAnsi="Calibri" w:cstheme="minorHAnsi"/>
        </w:rPr>
        <w:t>.</w:t>
      </w:r>
    </w:p>
  </w:footnote>
  <w:footnote w:id="17">
    <w:p w14:paraId="0BDABB65" w14:textId="22157BCB" w:rsidR="005257FF" w:rsidRPr="007728DC" w:rsidRDefault="005257FF" w:rsidP="007728DC">
      <w:pPr>
        <w:pStyle w:val="Textpoznpodarou"/>
        <w:ind w:left="284" w:hanging="284"/>
        <w:rPr>
          <w:rFonts w:ascii="Calibri" w:hAnsi="Calibri" w:cs="Calibri"/>
        </w:rPr>
      </w:pPr>
      <w:r w:rsidRPr="007728DC">
        <w:rPr>
          <w:rStyle w:val="Znakapoznpodarou"/>
          <w:rFonts w:ascii="Calibri" w:eastAsiaTheme="majorEastAsia" w:hAnsi="Calibri" w:cs="Calibri"/>
        </w:rPr>
        <w:footnoteRef/>
      </w:r>
      <w:r w:rsidRPr="007728DC">
        <w:rPr>
          <w:rFonts w:ascii="Calibri" w:hAnsi="Calibri" w:cs="Calibri"/>
        </w:rPr>
        <w:t xml:space="preserve"> </w:t>
      </w:r>
      <w:r>
        <w:rPr>
          <w:rFonts w:ascii="Calibri" w:hAnsi="Calibri" w:cs="Calibri"/>
        </w:rPr>
        <w:tab/>
      </w:r>
      <w:r w:rsidRPr="007728DC">
        <w:rPr>
          <w:rFonts w:ascii="Calibri" w:hAnsi="Calibri" w:cs="Calibri"/>
        </w:rPr>
        <w:t>Důvodová zpráva k návrhu zákona č. 343/2020 Sb.</w:t>
      </w:r>
    </w:p>
  </w:footnote>
  <w:footnote w:id="18">
    <w:p w14:paraId="6153CF0E" w14:textId="096F603C" w:rsidR="005257FF" w:rsidRPr="00E05701" w:rsidRDefault="005257FF" w:rsidP="00777F26">
      <w:pPr>
        <w:pStyle w:val="Textpoznpodarou"/>
        <w:ind w:left="284" w:hanging="284"/>
        <w:jc w:val="both"/>
        <w:rPr>
          <w:rFonts w:asciiTheme="minorHAnsi" w:hAnsiTheme="minorHAnsi"/>
        </w:rPr>
      </w:pPr>
      <w:r w:rsidRPr="00E05701">
        <w:rPr>
          <w:rStyle w:val="Znakapoznpodarou"/>
          <w:rFonts w:asciiTheme="minorHAnsi" w:eastAsiaTheme="majorEastAsia" w:hAnsiTheme="minorHAnsi"/>
        </w:rPr>
        <w:footnoteRef/>
      </w:r>
      <w:r w:rsidRPr="00E05701">
        <w:rPr>
          <w:rFonts w:asciiTheme="minorHAnsi" w:hAnsiTheme="minorHAnsi"/>
        </w:rPr>
        <w:t xml:space="preserve"> </w:t>
      </w:r>
      <w:r>
        <w:rPr>
          <w:rFonts w:asciiTheme="minorHAnsi" w:hAnsiTheme="minorHAnsi"/>
        </w:rPr>
        <w:tab/>
      </w:r>
      <w:r w:rsidRPr="00E05701">
        <w:rPr>
          <w:rFonts w:asciiTheme="minorHAnsi" w:hAnsiTheme="minorHAnsi"/>
        </w:rPr>
        <w:t>Směrnice Rady (EU) 2011/16 ze dne 15. února 2011</w:t>
      </w:r>
      <w:r>
        <w:rPr>
          <w:rFonts w:asciiTheme="minorHAnsi" w:hAnsiTheme="minorHAnsi"/>
        </w:rPr>
        <w:t>,</w:t>
      </w:r>
      <w:r w:rsidRPr="00E05701">
        <w:rPr>
          <w:rFonts w:asciiTheme="minorHAnsi" w:hAnsiTheme="minorHAnsi"/>
        </w:rPr>
        <w:t xml:space="preserve"> o správní spolupráci v oblasti daní a o zrušení směrnice 77/799/EHS (dále také </w:t>
      </w:r>
      <w:r w:rsidRPr="002733E5">
        <w:rPr>
          <w:rFonts w:asciiTheme="minorHAnsi" w:hAnsiTheme="minorHAnsi"/>
        </w:rPr>
        <w:t>„</w:t>
      </w:r>
      <w:r w:rsidRPr="00814652">
        <w:rPr>
          <w:rFonts w:asciiTheme="minorHAnsi" w:hAnsiTheme="minorHAnsi"/>
        </w:rPr>
        <w:t>směrnice 2011/16</w:t>
      </w:r>
      <w:r w:rsidRPr="002733E5">
        <w:rPr>
          <w:rFonts w:asciiTheme="minorHAnsi" w:hAnsiTheme="minorHAnsi"/>
        </w:rPr>
        <w:t>“</w:t>
      </w:r>
      <w:r w:rsidRPr="00E05701">
        <w:rPr>
          <w:rFonts w:asciiTheme="minorHAnsi" w:hAnsiTheme="minorHAnsi"/>
        </w:rPr>
        <w:t>).</w:t>
      </w:r>
    </w:p>
  </w:footnote>
  <w:footnote w:id="19">
    <w:p w14:paraId="673B4338" w14:textId="73ED49A4" w:rsidR="005257FF" w:rsidRPr="00CF5D6C" w:rsidRDefault="005257FF" w:rsidP="00564B9C">
      <w:pPr>
        <w:pStyle w:val="Textpoznpodarou"/>
        <w:ind w:left="284" w:hanging="284"/>
        <w:jc w:val="both"/>
        <w:rPr>
          <w:rFonts w:ascii="Calibri" w:hAnsi="Calibri" w:cs="Calibri"/>
        </w:rPr>
      </w:pPr>
      <w:r w:rsidRPr="00CF5D6C">
        <w:rPr>
          <w:rStyle w:val="Znakapoznpodarou"/>
          <w:rFonts w:ascii="Calibri" w:hAnsi="Calibri" w:cs="Calibri"/>
        </w:rPr>
        <w:footnoteRef/>
      </w:r>
      <w:r w:rsidRPr="00CF5D6C">
        <w:rPr>
          <w:rFonts w:ascii="Calibri" w:hAnsi="Calibri" w:cs="Calibri"/>
        </w:rPr>
        <w:t xml:space="preserve"> </w:t>
      </w:r>
      <w:r>
        <w:rPr>
          <w:rFonts w:ascii="Calibri" w:hAnsi="Calibri" w:cs="Calibri"/>
        </w:rPr>
        <w:tab/>
      </w:r>
      <w:r w:rsidRPr="00CF5D6C">
        <w:rPr>
          <w:rFonts w:ascii="Calibri" w:hAnsi="Calibri" w:cs="Calibri"/>
        </w:rPr>
        <w:t xml:space="preserve">Ve znění </w:t>
      </w:r>
      <w:r w:rsidRPr="00511E52">
        <w:rPr>
          <w:rFonts w:ascii="Calibri" w:eastAsia="Calibri" w:hAnsi="Calibri" w:cs="Arial"/>
        </w:rPr>
        <w:t xml:space="preserve">směrnice Rady </w:t>
      </w:r>
      <w:r>
        <w:rPr>
          <w:rFonts w:ascii="Calibri" w:eastAsia="Calibri" w:hAnsi="Calibri" w:cs="Arial"/>
        </w:rPr>
        <w:t>(</w:t>
      </w:r>
      <w:r w:rsidRPr="00511E52">
        <w:rPr>
          <w:rFonts w:ascii="Calibri" w:eastAsia="Calibri" w:hAnsi="Calibri" w:cs="Arial"/>
        </w:rPr>
        <w:t>EU</w:t>
      </w:r>
      <w:r>
        <w:rPr>
          <w:rFonts w:ascii="Calibri" w:eastAsia="Calibri" w:hAnsi="Calibri" w:cs="Arial"/>
        </w:rPr>
        <w:t>)</w:t>
      </w:r>
      <w:r w:rsidRPr="00511E52">
        <w:rPr>
          <w:rFonts w:ascii="Calibri" w:eastAsia="Calibri" w:hAnsi="Calibri" w:cs="Arial"/>
        </w:rPr>
        <w:t xml:space="preserve"> 2021/514/, kterou se mění směrnice 2011/16 o správní spolupráci v oblasti daní a o zrušení směrnice 77/799/EHS (tzv. DAC7)</w:t>
      </w:r>
      <w:r>
        <w:rPr>
          <w:rFonts w:ascii="Calibri" w:eastAsia="Calibri" w:hAnsi="Calibri" w:cs="Arial"/>
        </w:rPr>
        <w:t>.</w:t>
      </w:r>
    </w:p>
  </w:footnote>
  <w:footnote w:id="20">
    <w:p w14:paraId="678EB433" w14:textId="31C02081" w:rsidR="005257FF" w:rsidRPr="00CF5D6C" w:rsidRDefault="005257FF" w:rsidP="00564B9C">
      <w:pPr>
        <w:pStyle w:val="Textpoznpodarou"/>
        <w:ind w:left="284" w:hanging="284"/>
        <w:jc w:val="both"/>
        <w:rPr>
          <w:rFonts w:ascii="Calibri" w:hAnsi="Calibri" w:cs="Calibri"/>
        </w:rPr>
      </w:pPr>
      <w:r w:rsidRPr="00CF5D6C">
        <w:rPr>
          <w:rStyle w:val="Znakapoznpodarou"/>
          <w:rFonts w:ascii="Calibri" w:hAnsi="Calibri" w:cs="Calibri"/>
        </w:rPr>
        <w:footnoteRef/>
      </w:r>
      <w:r w:rsidRPr="00CF5D6C">
        <w:rPr>
          <w:rFonts w:ascii="Calibri" w:hAnsi="Calibri" w:cs="Calibri"/>
        </w:rPr>
        <w:t xml:space="preserve"> </w:t>
      </w:r>
      <w:r>
        <w:rPr>
          <w:rFonts w:ascii="Calibri" w:hAnsi="Calibri" w:cs="Calibri"/>
        </w:rPr>
        <w:tab/>
      </w:r>
      <w:r>
        <w:rPr>
          <w:rFonts w:ascii="Calibri" w:eastAsia="Calibri" w:hAnsi="Calibri" w:cs="Arial"/>
        </w:rPr>
        <w:t xml:space="preserve">Zákon </w:t>
      </w:r>
      <w:r w:rsidRPr="0057234B">
        <w:rPr>
          <w:rFonts w:ascii="Calibri" w:eastAsia="Calibri" w:hAnsi="Calibri" w:cs="Arial"/>
        </w:rPr>
        <w:t>č. 373/2022 Sb</w:t>
      </w:r>
      <w:r>
        <w:rPr>
          <w:rFonts w:ascii="Calibri" w:eastAsia="Calibri" w:hAnsi="Calibri" w:cs="Arial"/>
        </w:rPr>
        <w:t xml:space="preserve">., </w:t>
      </w:r>
      <w:r w:rsidRPr="00511E52">
        <w:rPr>
          <w:rFonts w:ascii="Calibri" w:eastAsia="Calibri" w:hAnsi="Calibri" w:cs="Arial"/>
        </w:rPr>
        <w:t>kterým se mění zákon č. 164/2013 Sb., o mezinárodní spolupráci při správě dan</w:t>
      </w:r>
      <w:r>
        <w:rPr>
          <w:rFonts w:ascii="Calibri" w:eastAsia="Calibri" w:hAnsi="Calibri" w:cs="Arial"/>
        </w:rPr>
        <w:t xml:space="preserve">í </w:t>
      </w:r>
      <w:r w:rsidRPr="00511E52">
        <w:rPr>
          <w:rFonts w:ascii="Calibri" w:eastAsia="Calibri" w:hAnsi="Calibri" w:cs="Arial"/>
        </w:rPr>
        <w:t>a</w:t>
      </w:r>
      <w:r>
        <w:rPr>
          <w:rFonts w:ascii="Calibri" w:eastAsia="Calibri" w:hAnsi="Calibri" w:cs="Arial"/>
        </w:rPr>
        <w:t> </w:t>
      </w:r>
      <w:r w:rsidRPr="00511E52">
        <w:rPr>
          <w:rFonts w:ascii="Calibri" w:eastAsia="Calibri" w:hAnsi="Calibri" w:cs="Arial"/>
        </w:rPr>
        <w:t>o</w:t>
      </w:r>
      <w:r>
        <w:rPr>
          <w:rFonts w:ascii="Calibri" w:eastAsia="Calibri" w:hAnsi="Calibri" w:cs="Arial"/>
        </w:rPr>
        <w:t> </w:t>
      </w:r>
      <w:r w:rsidRPr="00511E52">
        <w:rPr>
          <w:rFonts w:ascii="Calibri" w:eastAsia="Calibri" w:hAnsi="Calibri" w:cs="Arial"/>
        </w:rPr>
        <w:t>změně dalších souvisejících zákonů, ve znění pozdějších předpisů, a další související zákony</w:t>
      </w:r>
      <w:r>
        <w:rPr>
          <w:rFonts w:ascii="Calibri" w:eastAsia="Calibri" w:hAnsi="Calibri" w:cs="Arial"/>
        </w:rPr>
        <w:t>.</w:t>
      </w:r>
    </w:p>
  </w:footnote>
  <w:footnote w:id="21">
    <w:p w14:paraId="68A40834" w14:textId="06F698F2" w:rsidR="005257FF" w:rsidRPr="00156899" w:rsidRDefault="005257FF" w:rsidP="00AC24F3">
      <w:pPr>
        <w:pStyle w:val="Textpoznpodarou"/>
        <w:ind w:left="284" w:hanging="284"/>
        <w:jc w:val="both"/>
        <w:rPr>
          <w:rFonts w:ascii="Calibri" w:hAnsi="Calibri" w:cs="Calibri"/>
        </w:rPr>
      </w:pPr>
      <w:r w:rsidRPr="00156899">
        <w:rPr>
          <w:rStyle w:val="Znakapoznpodarou"/>
          <w:rFonts w:ascii="Calibri" w:hAnsi="Calibri" w:cs="Calibri"/>
        </w:rPr>
        <w:footnoteRef/>
      </w:r>
      <w:r w:rsidRPr="00156899">
        <w:rPr>
          <w:rFonts w:ascii="Calibri" w:hAnsi="Calibri" w:cs="Calibri"/>
        </w:rPr>
        <w:t xml:space="preserve"> </w:t>
      </w:r>
      <w:r w:rsidRPr="00156899">
        <w:rPr>
          <w:rFonts w:ascii="Calibri" w:hAnsi="Calibri" w:cs="Calibri"/>
        </w:rPr>
        <w:tab/>
        <w:t>Podle zákona č. 300/2008 Sb., o elektronických úkonech a autorizované konverzi dokumentů.</w:t>
      </w:r>
    </w:p>
  </w:footnote>
  <w:footnote w:id="22">
    <w:p w14:paraId="77DBA082" w14:textId="4815DC42" w:rsidR="005257FF" w:rsidRPr="00156899" w:rsidRDefault="005257FF" w:rsidP="00AC24F3">
      <w:pPr>
        <w:pStyle w:val="Textpoznpodarou"/>
        <w:ind w:left="284" w:hanging="284"/>
        <w:rPr>
          <w:rFonts w:ascii="Calibri" w:hAnsi="Calibri" w:cs="Calibri"/>
        </w:rPr>
      </w:pPr>
      <w:r w:rsidRPr="00156899">
        <w:rPr>
          <w:rStyle w:val="Znakapoznpodarou"/>
          <w:rFonts w:ascii="Calibri" w:hAnsi="Calibri" w:cs="Calibri"/>
        </w:rPr>
        <w:footnoteRef/>
      </w:r>
      <w:r w:rsidRPr="00156899">
        <w:rPr>
          <w:rFonts w:ascii="Calibri" w:hAnsi="Calibri" w:cs="Calibri"/>
        </w:rPr>
        <w:t xml:space="preserve"> </w:t>
      </w:r>
      <w:r w:rsidRPr="00156899">
        <w:rPr>
          <w:rFonts w:ascii="Calibri" w:hAnsi="Calibri" w:cs="Calibri"/>
        </w:rPr>
        <w:tab/>
        <w:t>Podle ustanovení § 10 odst. 4 zákona č. 456/2011 Sb., o Finanční správě České republiky.</w:t>
      </w:r>
    </w:p>
  </w:footnote>
  <w:footnote w:id="23">
    <w:p w14:paraId="3FA99177" w14:textId="585A164A" w:rsidR="005257FF" w:rsidRPr="00E73F94" w:rsidRDefault="005257FF" w:rsidP="00E73F94">
      <w:pPr>
        <w:pStyle w:val="Textpoznpodarou"/>
        <w:ind w:left="284" w:hanging="284"/>
        <w:rPr>
          <w:rFonts w:ascii="Calibri" w:hAnsi="Calibri" w:cs="Calibri"/>
        </w:rPr>
      </w:pPr>
      <w:r w:rsidRPr="00E73F94">
        <w:rPr>
          <w:rStyle w:val="Znakapoznpodarou"/>
          <w:rFonts w:ascii="Calibri" w:hAnsi="Calibri" w:cs="Calibri"/>
        </w:rPr>
        <w:footnoteRef/>
      </w:r>
      <w:r w:rsidRPr="00E73F94">
        <w:rPr>
          <w:rFonts w:ascii="Calibri" w:hAnsi="Calibri" w:cs="Calibri"/>
        </w:rPr>
        <w:t xml:space="preserve"> </w:t>
      </w:r>
      <w:r>
        <w:rPr>
          <w:rFonts w:ascii="Calibri" w:hAnsi="Calibri" w:cs="Calibri"/>
        </w:rPr>
        <w:tab/>
      </w:r>
      <w:r w:rsidRPr="00E73F94">
        <w:rPr>
          <w:rFonts w:ascii="Calibri" w:hAnsi="Calibri" w:cs="Calibri"/>
        </w:rPr>
        <w:t>Výkonnostní ukazatele byly vybrány takové, kterých bylo v rámci předmětných procesů početně nejvíce.</w:t>
      </w:r>
    </w:p>
  </w:footnote>
  <w:footnote w:id="24">
    <w:p w14:paraId="673E4DFB" w14:textId="131609A0" w:rsidR="005257FF" w:rsidRPr="00E73F94" w:rsidRDefault="005257FF" w:rsidP="00E73F94">
      <w:pPr>
        <w:pStyle w:val="Textpoznpodarou"/>
        <w:ind w:left="284" w:hanging="284"/>
        <w:rPr>
          <w:rFonts w:ascii="Calibri" w:hAnsi="Calibri" w:cs="Calibri"/>
        </w:rPr>
      </w:pPr>
      <w:r w:rsidRPr="00E73F94">
        <w:rPr>
          <w:rStyle w:val="Znakapoznpodarou"/>
          <w:rFonts w:ascii="Calibri" w:hAnsi="Calibri" w:cs="Calibri"/>
        </w:rPr>
        <w:footnoteRef/>
      </w:r>
      <w:r w:rsidRPr="00E73F94">
        <w:rPr>
          <w:rFonts w:ascii="Calibri" w:hAnsi="Calibri" w:cs="Calibri"/>
        </w:rPr>
        <w:t xml:space="preserve"> </w:t>
      </w:r>
      <w:r>
        <w:rPr>
          <w:rFonts w:ascii="Calibri" w:hAnsi="Calibri" w:cs="Calibri"/>
        </w:rPr>
        <w:tab/>
      </w:r>
      <w:r w:rsidRPr="00E73F94">
        <w:rPr>
          <w:rFonts w:ascii="Calibri" w:hAnsi="Calibri" w:cs="Calibri"/>
        </w:rPr>
        <w:t>Dodatečné daňové přiznání k DPPO.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141"/>
    <w:multiLevelType w:val="hybridMultilevel"/>
    <w:tmpl w:val="717AF68C"/>
    <w:lvl w:ilvl="0" w:tplc="19E4A702">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746B4F"/>
    <w:multiLevelType w:val="hybridMultilevel"/>
    <w:tmpl w:val="DFD80D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91644"/>
    <w:multiLevelType w:val="hybridMultilevel"/>
    <w:tmpl w:val="FD404706"/>
    <w:lvl w:ilvl="0" w:tplc="323456D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86BC5"/>
    <w:multiLevelType w:val="hybridMultilevel"/>
    <w:tmpl w:val="494A0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9604A3"/>
    <w:multiLevelType w:val="hybridMultilevel"/>
    <w:tmpl w:val="29E6B08C"/>
    <w:lvl w:ilvl="0" w:tplc="04050001">
      <w:start w:val="1"/>
      <w:numFmt w:val="bullet"/>
      <w:lvlText w:val=""/>
      <w:lvlJc w:val="left"/>
      <w:pPr>
        <w:ind w:left="349" w:hanging="360"/>
      </w:pPr>
      <w:rPr>
        <w:rFonts w:ascii="Symbol" w:hAnsi="Symbol" w:hint="default"/>
      </w:rPr>
    </w:lvl>
    <w:lvl w:ilvl="1" w:tplc="04050003" w:tentative="1">
      <w:start w:val="1"/>
      <w:numFmt w:val="bullet"/>
      <w:lvlText w:val="o"/>
      <w:lvlJc w:val="left"/>
      <w:pPr>
        <w:ind w:left="1069" w:hanging="360"/>
      </w:pPr>
      <w:rPr>
        <w:rFonts w:ascii="Courier New" w:hAnsi="Courier New" w:cs="Courier New" w:hint="default"/>
      </w:rPr>
    </w:lvl>
    <w:lvl w:ilvl="2" w:tplc="04050005" w:tentative="1">
      <w:start w:val="1"/>
      <w:numFmt w:val="bullet"/>
      <w:lvlText w:val=""/>
      <w:lvlJc w:val="left"/>
      <w:pPr>
        <w:ind w:left="1789" w:hanging="360"/>
      </w:pPr>
      <w:rPr>
        <w:rFonts w:ascii="Wingdings" w:hAnsi="Wingdings" w:hint="default"/>
      </w:rPr>
    </w:lvl>
    <w:lvl w:ilvl="3" w:tplc="04050001" w:tentative="1">
      <w:start w:val="1"/>
      <w:numFmt w:val="bullet"/>
      <w:lvlText w:val=""/>
      <w:lvlJc w:val="left"/>
      <w:pPr>
        <w:ind w:left="2509" w:hanging="360"/>
      </w:pPr>
      <w:rPr>
        <w:rFonts w:ascii="Symbol" w:hAnsi="Symbol" w:hint="default"/>
      </w:rPr>
    </w:lvl>
    <w:lvl w:ilvl="4" w:tplc="04050003" w:tentative="1">
      <w:start w:val="1"/>
      <w:numFmt w:val="bullet"/>
      <w:lvlText w:val="o"/>
      <w:lvlJc w:val="left"/>
      <w:pPr>
        <w:ind w:left="3229" w:hanging="360"/>
      </w:pPr>
      <w:rPr>
        <w:rFonts w:ascii="Courier New" w:hAnsi="Courier New" w:cs="Courier New" w:hint="default"/>
      </w:rPr>
    </w:lvl>
    <w:lvl w:ilvl="5" w:tplc="04050005" w:tentative="1">
      <w:start w:val="1"/>
      <w:numFmt w:val="bullet"/>
      <w:lvlText w:val=""/>
      <w:lvlJc w:val="left"/>
      <w:pPr>
        <w:ind w:left="3949" w:hanging="360"/>
      </w:pPr>
      <w:rPr>
        <w:rFonts w:ascii="Wingdings" w:hAnsi="Wingdings" w:hint="default"/>
      </w:rPr>
    </w:lvl>
    <w:lvl w:ilvl="6" w:tplc="04050001" w:tentative="1">
      <w:start w:val="1"/>
      <w:numFmt w:val="bullet"/>
      <w:lvlText w:val=""/>
      <w:lvlJc w:val="left"/>
      <w:pPr>
        <w:ind w:left="4669" w:hanging="360"/>
      </w:pPr>
      <w:rPr>
        <w:rFonts w:ascii="Symbol" w:hAnsi="Symbol" w:hint="default"/>
      </w:rPr>
    </w:lvl>
    <w:lvl w:ilvl="7" w:tplc="04050003" w:tentative="1">
      <w:start w:val="1"/>
      <w:numFmt w:val="bullet"/>
      <w:lvlText w:val="o"/>
      <w:lvlJc w:val="left"/>
      <w:pPr>
        <w:ind w:left="5389" w:hanging="360"/>
      </w:pPr>
      <w:rPr>
        <w:rFonts w:ascii="Courier New" w:hAnsi="Courier New" w:cs="Courier New" w:hint="default"/>
      </w:rPr>
    </w:lvl>
    <w:lvl w:ilvl="8" w:tplc="04050005" w:tentative="1">
      <w:start w:val="1"/>
      <w:numFmt w:val="bullet"/>
      <w:lvlText w:val=""/>
      <w:lvlJc w:val="left"/>
      <w:pPr>
        <w:ind w:left="6109" w:hanging="360"/>
      </w:pPr>
      <w:rPr>
        <w:rFonts w:ascii="Wingdings" w:hAnsi="Wingdings" w:hint="default"/>
      </w:rPr>
    </w:lvl>
  </w:abstractNum>
  <w:abstractNum w:abstractNumId="5" w15:restartNumberingAfterBreak="0">
    <w:nsid w:val="08E266F0"/>
    <w:multiLevelType w:val="hybridMultilevel"/>
    <w:tmpl w:val="B2B8C6DA"/>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6" w15:restartNumberingAfterBreak="0">
    <w:nsid w:val="0C3172A9"/>
    <w:multiLevelType w:val="hybridMultilevel"/>
    <w:tmpl w:val="2D265D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C3F0FA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9C23FB"/>
    <w:multiLevelType w:val="hybridMultilevel"/>
    <w:tmpl w:val="F404F3E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B857A4"/>
    <w:multiLevelType w:val="hybridMultilevel"/>
    <w:tmpl w:val="FAE259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7E3488"/>
    <w:multiLevelType w:val="multilevel"/>
    <w:tmpl w:val="082A80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5E3B1E"/>
    <w:multiLevelType w:val="multilevel"/>
    <w:tmpl w:val="76041D7C"/>
    <w:lvl w:ilvl="0">
      <w:start w:val="1"/>
      <w:numFmt w:val="decimal"/>
      <w:pStyle w:val="Nadpis2"/>
      <w:lvlText w:val="%1."/>
      <w:lvlJc w:val="left"/>
      <w:pPr>
        <w:ind w:left="720" w:hanging="360"/>
      </w:pPr>
      <w:rPr>
        <w:rFonts w:hint="default"/>
      </w:rPr>
    </w:lvl>
    <w:lvl w:ilvl="1">
      <w:start w:val="1"/>
      <w:numFmt w:val="decimal"/>
      <w:pStyle w:val="Nadpis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4A4F34"/>
    <w:multiLevelType w:val="multilevel"/>
    <w:tmpl w:val="A91283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DF2A98"/>
    <w:multiLevelType w:val="multilevel"/>
    <w:tmpl w:val="8122707A"/>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15:restartNumberingAfterBreak="0">
    <w:nsid w:val="21951547"/>
    <w:multiLevelType w:val="hybridMultilevel"/>
    <w:tmpl w:val="E9D66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115F10"/>
    <w:multiLevelType w:val="hybridMultilevel"/>
    <w:tmpl w:val="1CCADF82"/>
    <w:lvl w:ilvl="0" w:tplc="AB3A559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AC3445"/>
    <w:multiLevelType w:val="hybridMultilevel"/>
    <w:tmpl w:val="08981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B61EB2"/>
    <w:multiLevelType w:val="hybridMultilevel"/>
    <w:tmpl w:val="8A8A3BFE"/>
    <w:lvl w:ilvl="0" w:tplc="E0A81DA4">
      <w:start w:val="235"/>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2C307A01"/>
    <w:multiLevelType w:val="hybridMultilevel"/>
    <w:tmpl w:val="E3FC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590A3B"/>
    <w:multiLevelType w:val="hybridMultilevel"/>
    <w:tmpl w:val="44F01786"/>
    <w:lvl w:ilvl="0" w:tplc="E894322C">
      <w:start w:val="1"/>
      <w:numFmt w:val="lowerLetter"/>
      <w:lvlText w:val="%1)"/>
      <w:lvlJc w:val="left"/>
      <w:pPr>
        <w:ind w:left="720" w:hanging="360"/>
      </w:pPr>
      <w:rPr>
        <w:rFonts w:cs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DB14E0"/>
    <w:multiLevelType w:val="hybridMultilevel"/>
    <w:tmpl w:val="EBCE060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07A6E2D"/>
    <w:multiLevelType w:val="multilevel"/>
    <w:tmpl w:val="E90E4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1152C39"/>
    <w:multiLevelType w:val="hybridMultilevel"/>
    <w:tmpl w:val="7C96EE32"/>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23" w15:restartNumberingAfterBreak="0">
    <w:nsid w:val="39BA599F"/>
    <w:multiLevelType w:val="multilevel"/>
    <w:tmpl w:val="FB98C40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AAD4B5E"/>
    <w:multiLevelType w:val="hybridMultilevel"/>
    <w:tmpl w:val="408CA230"/>
    <w:lvl w:ilvl="0" w:tplc="75887538">
      <w:start w:val="1"/>
      <w:numFmt w:val="bullet"/>
      <w:lvlText w:val="-"/>
      <w:lvlJc w:val="left"/>
      <w:pPr>
        <w:ind w:left="349" w:hanging="360"/>
      </w:pPr>
      <w:rPr>
        <w:rFonts w:ascii="Calibri" w:eastAsia="Calibri" w:hAnsi="Calibri" w:cs="Calibri" w:hint="default"/>
      </w:rPr>
    </w:lvl>
    <w:lvl w:ilvl="1" w:tplc="04050003" w:tentative="1">
      <w:start w:val="1"/>
      <w:numFmt w:val="bullet"/>
      <w:lvlText w:val="o"/>
      <w:lvlJc w:val="left"/>
      <w:pPr>
        <w:ind w:left="1069" w:hanging="360"/>
      </w:pPr>
      <w:rPr>
        <w:rFonts w:ascii="Courier New" w:hAnsi="Courier New" w:cs="Courier New" w:hint="default"/>
      </w:rPr>
    </w:lvl>
    <w:lvl w:ilvl="2" w:tplc="04050005" w:tentative="1">
      <w:start w:val="1"/>
      <w:numFmt w:val="bullet"/>
      <w:lvlText w:val=""/>
      <w:lvlJc w:val="left"/>
      <w:pPr>
        <w:ind w:left="1789" w:hanging="360"/>
      </w:pPr>
      <w:rPr>
        <w:rFonts w:ascii="Wingdings" w:hAnsi="Wingdings" w:hint="default"/>
      </w:rPr>
    </w:lvl>
    <w:lvl w:ilvl="3" w:tplc="04050001" w:tentative="1">
      <w:start w:val="1"/>
      <w:numFmt w:val="bullet"/>
      <w:lvlText w:val=""/>
      <w:lvlJc w:val="left"/>
      <w:pPr>
        <w:ind w:left="2509" w:hanging="360"/>
      </w:pPr>
      <w:rPr>
        <w:rFonts w:ascii="Symbol" w:hAnsi="Symbol" w:hint="default"/>
      </w:rPr>
    </w:lvl>
    <w:lvl w:ilvl="4" w:tplc="04050003" w:tentative="1">
      <w:start w:val="1"/>
      <w:numFmt w:val="bullet"/>
      <w:lvlText w:val="o"/>
      <w:lvlJc w:val="left"/>
      <w:pPr>
        <w:ind w:left="3229" w:hanging="360"/>
      </w:pPr>
      <w:rPr>
        <w:rFonts w:ascii="Courier New" w:hAnsi="Courier New" w:cs="Courier New" w:hint="default"/>
      </w:rPr>
    </w:lvl>
    <w:lvl w:ilvl="5" w:tplc="04050005" w:tentative="1">
      <w:start w:val="1"/>
      <w:numFmt w:val="bullet"/>
      <w:lvlText w:val=""/>
      <w:lvlJc w:val="left"/>
      <w:pPr>
        <w:ind w:left="3949" w:hanging="360"/>
      </w:pPr>
      <w:rPr>
        <w:rFonts w:ascii="Wingdings" w:hAnsi="Wingdings" w:hint="default"/>
      </w:rPr>
    </w:lvl>
    <w:lvl w:ilvl="6" w:tplc="04050001" w:tentative="1">
      <w:start w:val="1"/>
      <w:numFmt w:val="bullet"/>
      <w:lvlText w:val=""/>
      <w:lvlJc w:val="left"/>
      <w:pPr>
        <w:ind w:left="4669" w:hanging="360"/>
      </w:pPr>
      <w:rPr>
        <w:rFonts w:ascii="Symbol" w:hAnsi="Symbol" w:hint="default"/>
      </w:rPr>
    </w:lvl>
    <w:lvl w:ilvl="7" w:tplc="04050003" w:tentative="1">
      <w:start w:val="1"/>
      <w:numFmt w:val="bullet"/>
      <w:lvlText w:val="o"/>
      <w:lvlJc w:val="left"/>
      <w:pPr>
        <w:ind w:left="5389" w:hanging="360"/>
      </w:pPr>
      <w:rPr>
        <w:rFonts w:ascii="Courier New" w:hAnsi="Courier New" w:cs="Courier New" w:hint="default"/>
      </w:rPr>
    </w:lvl>
    <w:lvl w:ilvl="8" w:tplc="04050005" w:tentative="1">
      <w:start w:val="1"/>
      <w:numFmt w:val="bullet"/>
      <w:lvlText w:val=""/>
      <w:lvlJc w:val="left"/>
      <w:pPr>
        <w:ind w:left="6109" w:hanging="360"/>
      </w:pPr>
      <w:rPr>
        <w:rFonts w:ascii="Wingdings" w:hAnsi="Wingdings" w:hint="default"/>
      </w:rPr>
    </w:lvl>
  </w:abstractNum>
  <w:abstractNum w:abstractNumId="25" w15:restartNumberingAfterBreak="0">
    <w:nsid w:val="3BC36714"/>
    <w:multiLevelType w:val="hybridMultilevel"/>
    <w:tmpl w:val="62BAE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481458"/>
    <w:multiLevelType w:val="hybridMultilevel"/>
    <w:tmpl w:val="A52AC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72E60"/>
    <w:multiLevelType w:val="hybridMultilevel"/>
    <w:tmpl w:val="8E12EB28"/>
    <w:lvl w:ilvl="0" w:tplc="7794EAD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736B3B"/>
    <w:multiLevelType w:val="hybridMultilevel"/>
    <w:tmpl w:val="55786FD8"/>
    <w:lvl w:ilvl="0" w:tplc="7414BA66">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F07E7C"/>
    <w:multiLevelType w:val="multilevel"/>
    <w:tmpl w:val="299470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A0C770F"/>
    <w:multiLevelType w:val="hybridMultilevel"/>
    <w:tmpl w:val="73EA3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845AF3"/>
    <w:multiLevelType w:val="hybridMultilevel"/>
    <w:tmpl w:val="89C25542"/>
    <w:lvl w:ilvl="0" w:tplc="1B18D7DC">
      <w:start w:val="4"/>
      <w:numFmt w:val="upperRoman"/>
      <w:lvlText w:val="%1."/>
      <w:lvlJc w:val="left"/>
      <w:pPr>
        <w:ind w:left="720" w:hanging="360"/>
      </w:pPr>
      <w:rPr>
        <w:rFonts w:hint="default"/>
      </w:rPr>
    </w:lvl>
    <w:lvl w:ilvl="1" w:tplc="BF9A0EF2" w:tentative="1">
      <w:start w:val="1"/>
      <w:numFmt w:val="lowerLetter"/>
      <w:lvlText w:val="%2."/>
      <w:lvlJc w:val="left"/>
      <w:pPr>
        <w:ind w:left="1440" w:hanging="360"/>
      </w:pPr>
    </w:lvl>
    <w:lvl w:ilvl="2" w:tplc="C03C6D2A" w:tentative="1">
      <w:start w:val="1"/>
      <w:numFmt w:val="lowerRoman"/>
      <w:lvlText w:val="%3."/>
      <w:lvlJc w:val="right"/>
      <w:pPr>
        <w:ind w:left="2160" w:hanging="180"/>
      </w:pPr>
    </w:lvl>
    <w:lvl w:ilvl="3" w:tplc="73DE8AA0" w:tentative="1">
      <w:start w:val="1"/>
      <w:numFmt w:val="decimal"/>
      <w:lvlText w:val="%4."/>
      <w:lvlJc w:val="left"/>
      <w:pPr>
        <w:ind w:left="2880" w:hanging="360"/>
      </w:pPr>
    </w:lvl>
    <w:lvl w:ilvl="4" w:tplc="A8266A50" w:tentative="1">
      <w:start w:val="1"/>
      <w:numFmt w:val="lowerLetter"/>
      <w:lvlText w:val="%5."/>
      <w:lvlJc w:val="left"/>
      <w:pPr>
        <w:ind w:left="3600" w:hanging="360"/>
      </w:pPr>
    </w:lvl>
    <w:lvl w:ilvl="5" w:tplc="00F067DE" w:tentative="1">
      <w:start w:val="1"/>
      <w:numFmt w:val="lowerRoman"/>
      <w:lvlText w:val="%6."/>
      <w:lvlJc w:val="right"/>
      <w:pPr>
        <w:ind w:left="4320" w:hanging="180"/>
      </w:pPr>
    </w:lvl>
    <w:lvl w:ilvl="6" w:tplc="44FE1D78" w:tentative="1">
      <w:start w:val="1"/>
      <w:numFmt w:val="decimal"/>
      <w:lvlText w:val="%7."/>
      <w:lvlJc w:val="left"/>
      <w:pPr>
        <w:ind w:left="5040" w:hanging="360"/>
      </w:pPr>
    </w:lvl>
    <w:lvl w:ilvl="7" w:tplc="D82EF9B0" w:tentative="1">
      <w:start w:val="1"/>
      <w:numFmt w:val="lowerLetter"/>
      <w:lvlText w:val="%8."/>
      <w:lvlJc w:val="left"/>
      <w:pPr>
        <w:ind w:left="5760" w:hanging="360"/>
      </w:pPr>
    </w:lvl>
    <w:lvl w:ilvl="8" w:tplc="710C6D6A" w:tentative="1">
      <w:start w:val="1"/>
      <w:numFmt w:val="lowerRoman"/>
      <w:lvlText w:val="%9."/>
      <w:lvlJc w:val="right"/>
      <w:pPr>
        <w:ind w:left="6480" w:hanging="180"/>
      </w:pPr>
    </w:lvl>
  </w:abstractNum>
  <w:abstractNum w:abstractNumId="32" w15:restartNumberingAfterBreak="0">
    <w:nsid w:val="4E4D140F"/>
    <w:multiLevelType w:val="hybridMultilevel"/>
    <w:tmpl w:val="3E3ACA64"/>
    <w:lvl w:ilvl="0" w:tplc="400EA396">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E8545E"/>
    <w:multiLevelType w:val="hybridMultilevel"/>
    <w:tmpl w:val="B2748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497700"/>
    <w:multiLevelType w:val="hybridMultilevel"/>
    <w:tmpl w:val="AB489B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FA3C72"/>
    <w:multiLevelType w:val="singleLevel"/>
    <w:tmpl w:val="427029BE"/>
    <w:lvl w:ilvl="0">
      <w:start w:val="1"/>
      <w:numFmt w:val="decimal"/>
      <w:lvlText w:val="%1)"/>
      <w:legacy w:legacy="1" w:legacySpace="0" w:legacyIndent="283"/>
      <w:lvlJc w:val="left"/>
      <w:pPr>
        <w:ind w:left="283" w:hanging="283"/>
      </w:pPr>
      <w:rPr>
        <w:b w:val="0"/>
        <w:i w:val="0"/>
      </w:rPr>
    </w:lvl>
  </w:abstractNum>
  <w:abstractNum w:abstractNumId="36" w15:restartNumberingAfterBreak="0">
    <w:nsid w:val="52607006"/>
    <w:multiLevelType w:val="multilevel"/>
    <w:tmpl w:val="299470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4650044"/>
    <w:multiLevelType w:val="hybridMultilevel"/>
    <w:tmpl w:val="A64ADF72"/>
    <w:lvl w:ilvl="0" w:tplc="BBF2C416">
      <w:start w:val="1"/>
      <w:numFmt w:val="bullet"/>
      <w:pStyle w:val="Odrka1"/>
      <w:lvlText w:val=""/>
      <w:lvlJc w:val="left"/>
      <w:pPr>
        <w:ind w:left="720" w:hanging="360"/>
      </w:pPr>
      <w:rPr>
        <w:rFonts w:ascii="Symbol" w:hAnsi="Symbol" w:hint="default"/>
      </w:rPr>
    </w:lvl>
    <w:lvl w:ilvl="1" w:tplc="21540E84" w:tentative="1">
      <w:start w:val="1"/>
      <w:numFmt w:val="bullet"/>
      <w:lvlText w:val="o"/>
      <w:lvlJc w:val="left"/>
      <w:pPr>
        <w:ind w:left="1440" w:hanging="360"/>
      </w:pPr>
      <w:rPr>
        <w:rFonts w:ascii="Courier New" w:hAnsi="Courier New" w:cs="Courier New" w:hint="default"/>
      </w:rPr>
    </w:lvl>
    <w:lvl w:ilvl="2" w:tplc="5184BBCC">
      <w:start w:val="1"/>
      <w:numFmt w:val="bullet"/>
      <w:lvlText w:val=""/>
      <w:lvlJc w:val="left"/>
      <w:pPr>
        <w:ind w:left="2160" w:hanging="360"/>
      </w:pPr>
      <w:rPr>
        <w:rFonts w:ascii="Wingdings" w:hAnsi="Wingdings" w:hint="default"/>
      </w:rPr>
    </w:lvl>
    <w:lvl w:ilvl="3" w:tplc="FB962F3A" w:tentative="1">
      <w:start w:val="1"/>
      <w:numFmt w:val="bullet"/>
      <w:lvlText w:val=""/>
      <w:lvlJc w:val="left"/>
      <w:pPr>
        <w:ind w:left="2880" w:hanging="360"/>
      </w:pPr>
      <w:rPr>
        <w:rFonts w:ascii="Symbol" w:hAnsi="Symbol" w:hint="default"/>
      </w:rPr>
    </w:lvl>
    <w:lvl w:ilvl="4" w:tplc="5332FB18" w:tentative="1">
      <w:start w:val="1"/>
      <w:numFmt w:val="bullet"/>
      <w:lvlText w:val="o"/>
      <w:lvlJc w:val="left"/>
      <w:pPr>
        <w:ind w:left="3600" w:hanging="360"/>
      </w:pPr>
      <w:rPr>
        <w:rFonts w:ascii="Courier New" w:hAnsi="Courier New" w:cs="Courier New" w:hint="default"/>
      </w:rPr>
    </w:lvl>
    <w:lvl w:ilvl="5" w:tplc="585C1D96" w:tentative="1">
      <w:start w:val="1"/>
      <w:numFmt w:val="bullet"/>
      <w:lvlText w:val=""/>
      <w:lvlJc w:val="left"/>
      <w:pPr>
        <w:ind w:left="4320" w:hanging="360"/>
      </w:pPr>
      <w:rPr>
        <w:rFonts w:ascii="Wingdings" w:hAnsi="Wingdings" w:hint="default"/>
      </w:rPr>
    </w:lvl>
    <w:lvl w:ilvl="6" w:tplc="824061D0" w:tentative="1">
      <w:start w:val="1"/>
      <w:numFmt w:val="bullet"/>
      <w:lvlText w:val=""/>
      <w:lvlJc w:val="left"/>
      <w:pPr>
        <w:ind w:left="5040" w:hanging="360"/>
      </w:pPr>
      <w:rPr>
        <w:rFonts w:ascii="Symbol" w:hAnsi="Symbol" w:hint="default"/>
      </w:rPr>
    </w:lvl>
    <w:lvl w:ilvl="7" w:tplc="D416DB58" w:tentative="1">
      <w:start w:val="1"/>
      <w:numFmt w:val="bullet"/>
      <w:lvlText w:val="o"/>
      <w:lvlJc w:val="left"/>
      <w:pPr>
        <w:ind w:left="5760" w:hanging="360"/>
      </w:pPr>
      <w:rPr>
        <w:rFonts w:ascii="Courier New" w:hAnsi="Courier New" w:cs="Courier New" w:hint="default"/>
      </w:rPr>
    </w:lvl>
    <w:lvl w:ilvl="8" w:tplc="3F087CF6" w:tentative="1">
      <w:start w:val="1"/>
      <w:numFmt w:val="bullet"/>
      <w:lvlText w:val=""/>
      <w:lvlJc w:val="left"/>
      <w:pPr>
        <w:ind w:left="6480" w:hanging="360"/>
      </w:pPr>
      <w:rPr>
        <w:rFonts w:ascii="Wingdings" w:hAnsi="Wingdings" w:hint="default"/>
      </w:rPr>
    </w:lvl>
  </w:abstractNum>
  <w:abstractNum w:abstractNumId="38" w15:restartNumberingAfterBreak="0">
    <w:nsid w:val="55835716"/>
    <w:multiLevelType w:val="hybridMultilevel"/>
    <w:tmpl w:val="7CA67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8E51374"/>
    <w:multiLevelType w:val="hybridMultilevel"/>
    <w:tmpl w:val="0308BC8A"/>
    <w:lvl w:ilvl="0" w:tplc="04050001">
      <w:start w:val="1"/>
      <w:numFmt w:val="bullet"/>
      <w:lvlText w:val=""/>
      <w:lvlJc w:val="left"/>
      <w:pPr>
        <w:ind w:left="349" w:hanging="360"/>
      </w:pPr>
      <w:rPr>
        <w:rFonts w:ascii="Symbol" w:hAnsi="Symbol" w:hint="default"/>
      </w:rPr>
    </w:lvl>
    <w:lvl w:ilvl="1" w:tplc="04050003" w:tentative="1">
      <w:start w:val="1"/>
      <w:numFmt w:val="bullet"/>
      <w:lvlText w:val="o"/>
      <w:lvlJc w:val="left"/>
      <w:pPr>
        <w:ind w:left="1069" w:hanging="360"/>
      </w:pPr>
      <w:rPr>
        <w:rFonts w:ascii="Courier New" w:hAnsi="Courier New" w:cs="Courier New" w:hint="default"/>
      </w:rPr>
    </w:lvl>
    <w:lvl w:ilvl="2" w:tplc="04050005" w:tentative="1">
      <w:start w:val="1"/>
      <w:numFmt w:val="bullet"/>
      <w:lvlText w:val=""/>
      <w:lvlJc w:val="left"/>
      <w:pPr>
        <w:ind w:left="1789" w:hanging="360"/>
      </w:pPr>
      <w:rPr>
        <w:rFonts w:ascii="Wingdings" w:hAnsi="Wingdings" w:hint="default"/>
      </w:rPr>
    </w:lvl>
    <w:lvl w:ilvl="3" w:tplc="04050001" w:tentative="1">
      <w:start w:val="1"/>
      <w:numFmt w:val="bullet"/>
      <w:lvlText w:val=""/>
      <w:lvlJc w:val="left"/>
      <w:pPr>
        <w:ind w:left="2509" w:hanging="360"/>
      </w:pPr>
      <w:rPr>
        <w:rFonts w:ascii="Symbol" w:hAnsi="Symbol" w:hint="default"/>
      </w:rPr>
    </w:lvl>
    <w:lvl w:ilvl="4" w:tplc="04050003" w:tentative="1">
      <w:start w:val="1"/>
      <w:numFmt w:val="bullet"/>
      <w:lvlText w:val="o"/>
      <w:lvlJc w:val="left"/>
      <w:pPr>
        <w:ind w:left="3229" w:hanging="360"/>
      </w:pPr>
      <w:rPr>
        <w:rFonts w:ascii="Courier New" w:hAnsi="Courier New" w:cs="Courier New" w:hint="default"/>
      </w:rPr>
    </w:lvl>
    <w:lvl w:ilvl="5" w:tplc="04050005" w:tentative="1">
      <w:start w:val="1"/>
      <w:numFmt w:val="bullet"/>
      <w:lvlText w:val=""/>
      <w:lvlJc w:val="left"/>
      <w:pPr>
        <w:ind w:left="3949" w:hanging="360"/>
      </w:pPr>
      <w:rPr>
        <w:rFonts w:ascii="Wingdings" w:hAnsi="Wingdings" w:hint="default"/>
      </w:rPr>
    </w:lvl>
    <w:lvl w:ilvl="6" w:tplc="04050001" w:tentative="1">
      <w:start w:val="1"/>
      <w:numFmt w:val="bullet"/>
      <w:lvlText w:val=""/>
      <w:lvlJc w:val="left"/>
      <w:pPr>
        <w:ind w:left="4669" w:hanging="360"/>
      </w:pPr>
      <w:rPr>
        <w:rFonts w:ascii="Symbol" w:hAnsi="Symbol" w:hint="default"/>
      </w:rPr>
    </w:lvl>
    <w:lvl w:ilvl="7" w:tplc="04050003" w:tentative="1">
      <w:start w:val="1"/>
      <w:numFmt w:val="bullet"/>
      <w:lvlText w:val="o"/>
      <w:lvlJc w:val="left"/>
      <w:pPr>
        <w:ind w:left="5389" w:hanging="360"/>
      </w:pPr>
      <w:rPr>
        <w:rFonts w:ascii="Courier New" w:hAnsi="Courier New" w:cs="Courier New" w:hint="default"/>
      </w:rPr>
    </w:lvl>
    <w:lvl w:ilvl="8" w:tplc="04050005" w:tentative="1">
      <w:start w:val="1"/>
      <w:numFmt w:val="bullet"/>
      <w:lvlText w:val=""/>
      <w:lvlJc w:val="left"/>
      <w:pPr>
        <w:ind w:left="6109" w:hanging="360"/>
      </w:pPr>
      <w:rPr>
        <w:rFonts w:ascii="Wingdings" w:hAnsi="Wingdings" w:hint="default"/>
      </w:rPr>
    </w:lvl>
  </w:abstractNum>
  <w:abstractNum w:abstractNumId="40" w15:restartNumberingAfterBreak="0">
    <w:nsid w:val="59B71CD6"/>
    <w:multiLevelType w:val="multilevel"/>
    <w:tmpl w:val="6B5039CA"/>
    <w:lvl w:ilvl="0">
      <w:start w:val="1"/>
      <w:numFmt w:val="upperRoman"/>
      <w:pStyle w:val="Nadpis1"/>
      <w:lvlText w:val="%1."/>
      <w:lvlJc w:val="right"/>
      <w:pPr>
        <w:ind w:left="360" w:hanging="360"/>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1" w15:restartNumberingAfterBreak="0">
    <w:nsid w:val="5C9F1806"/>
    <w:multiLevelType w:val="hybridMultilevel"/>
    <w:tmpl w:val="95101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3963D83"/>
    <w:multiLevelType w:val="hybridMultilevel"/>
    <w:tmpl w:val="2D685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61D2ADC"/>
    <w:multiLevelType w:val="hybridMultilevel"/>
    <w:tmpl w:val="DACA0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76F4EC3"/>
    <w:multiLevelType w:val="hybridMultilevel"/>
    <w:tmpl w:val="9EEA088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8553FB1"/>
    <w:multiLevelType w:val="multilevel"/>
    <w:tmpl w:val="74D0AB18"/>
    <w:lvl w:ilvl="0">
      <w:start w:val="1"/>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46" w15:restartNumberingAfterBreak="0">
    <w:nsid w:val="68E30DF4"/>
    <w:multiLevelType w:val="hybridMultilevel"/>
    <w:tmpl w:val="98546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B0C0977"/>
    <w:multiLevelType w:val="hybridMultilevel"/>
    <w:tmpl w:val="B41AE1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F793C27"/>
    <w:multiLevelType w:val="hybridMultilevel"/>
    <w:tmpl w:val="DFB827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6F0F5B"/>
    <w:multiLevelType w:val="multilevel"/>
    <w:tmpl w:val="B2AACB6A"/>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0" w15:restartNumberingAfterBreak="0">
    <w:nsid w:val="78DE3CCD"/>
    <w:multiLevelType w:val="hybridMultilevel"/>
    <w:tmpl w:val="1D103AE2"/>
    <w:lvl w:ilvl="0" w:tplc="1FD20F38">
      <w:start w:val="23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37"/>
  </w:num>
  <w:num w:numId="3">
    <w:abstractNumId w:val="31"/>
  </w:num>
  <w:num w:numId="4">
    <w:abstractNumId w:val="0"/>
  </w:num>
  <w:num w:numId="5">
    <w:abstractNumId w:val="11"/>
  </w:num>
  <w:num w:numId="6">
    <w:abstractNumId w:val="46"/>
  </w:num>
  <w:num w:numId="7">
    <w:abstractNumId w:val="38"/>
  </w:num>
  <w:num w:numId="8">
    <w:abstractNumId w:val="29"/>
  </w:num>
  <w:num w:numId="9">
    <w:abstractNumId w:val="26"/>
  </w:num>
  <w:num w:numId="10">
    <w:abstractNumId w:val="5"/>
  </w:num>
  <w:num w:numId="11">
    <w:abstractNumId w:val="7"/>
  </w:num>
  <w:num w:numId="12">
    <w:abstractNumId w:val="24"/>
  </w:num>
  <w:num w:numId="13">
    <w:abstractNumId w:val="47"/>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6"/>
  </w:num>
  <w:num w:numId="26">
    <w:abstractNumId w:val="18"/>
  </w:num>
  <w:num w:numId="27">
    <w:abstractNumId w:val="35"/>
    <w:lvlOverride w:ilvl="0">
      <w:lvl w:ilvl="0">
        <w:start w:val="1"/>
        <w:numFmt w:val="decimal"/>
        <w:lvlText w:val="%1)"/>
        <w:legacy w:legacy="1" w:legacySpace="0" w:legacyIndent="283"/>
        <w:lvlJc w:val="left"/>
        <w:pPr>
          <w:ind w:left="283" w:hanging="283"/>
        </w:pPr>
        <w:rPr>
          <w:b w:val="0"/>
          <w:i w:val="0"/>
        </w:rPr>
      </w:lvl>
    </w:lvlOverride>
  </w:num>
  <w:num w:numId="28">
    <w:abstractNumId w:val="42"/>
  </w:num>
  <w:num w:numId="29">
    <w:abstractNumId w:val="23"/>
  </w:num>
  <w:num w:numId="30">
    <w:abstractNumId w:val="2"/>
  </w:num>
  <w:num w:numId="31">
    <w:abstractNumId w:val="34"/>
  </w:num>
  <w:num w:numId="32">
    <w:abstractNumId w:val="30"/>
  </w:num>
  <w:num w:numId="33">
    <w:abstractNumId w:val="41"/>
  </w:num>
  <w:num w:numId="34">
    <w:abstractNumId w:val="39"/>
  </w:num>
  <w:num w:numId="35">
    <w:abstractNumId w:val="3"/>
  </w:num>
  <w:num w:numId="36">
    <w:abstractNumId w:val="4"/>
  </w:num>
  <w:num w:numId="37">
    <w:abstractNumId w:val="22"/>
  </w:num>
  <w:num w:numId="38">
    <w:abstractNumId w:val="45"/>
  </w:num>
  <w:num w:numId="39">
    <w:abstractNumId w:val="12"/>
  </w:num>
  <w:num w:numId="40">
    <w:abstractNumId w:val="49"/>
  </w:num>
  <w:num w:numId="41">
    <w:abstractNumId w:val="13"/>
  </w:num>
  <w:num w:numId="42">
    <w:abstractNumId w:val="10"/>
  </w:num>
  <w:num w:numId="43">
    <w:abstractNumId w:val="1"/>
  </w:num>
  <w:num w:numId="44">
    <w:abstractNumId w:val="32"/>
  </w:num>
  <w:num w:numId="45">
    <w:abstractNumId w:val="9"/>
  </w:num>
  <w:num w:numId="46">
    <w:abstractNumId w:val="44"/>
  </w:num>
  <w:num w:numId="47">
    <w:abstractNumId w:val="16"/>
  </w:num>
  <w:num w:numId="48">
    <w:abstractNumId w:val="6"/>
  </w:num>
  <w:num w:numId="49">
    <w:abstractNumId w:val="14"/>
  </w:num>
  <w:num w:numId="50">
    <w:abstractNumId w:val="33"/>
  </w:num>
  <w:num w:numId="51">
    <w:abstractNumId w:val="43"/>
  </w:num>
  <w:num w:numId="52">
    <w:abstractNumId w:val="25"/>
  </w:num>
  <w:num w:numId="53">
    <w:abstractNumId w:val="48"/>
  </w:num>
  <w:num w:numId="54">
    <w:abstractNumId w:val="8"/>
  </w:num>
  <w:num w:numId="55">
    <w:abstractNumId w:val="20"/>
  </w:num>
  <w:num w:numId="56">
    <w:abstractNumId w:val="27"/>
  </w:num>
  <w:num w:numId="57">
    <w:abstractNumId w:val="28"/>
  </w:num>
  <w:num w:numId="58">
    <w:abstractNumId w:val="19"/>
  </w:num>
  <w:num w:numId="59">
    <w:abstractNumId w:val="17"/>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hideSpellingErrors/>
  <w:hideGrammaticalErrors/>
  <w:activeWritingStyle w:appName="MSWord" w:lang="cs-CZ" w:vendorID="64" w:dllVersion="4096"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5"/>
    <w:rsid w:val="0000046E"/>
    <w:rsid w:val="000005FA"/>
    <w:rsid w:val="000008B5"/>
    <w:rsid w:val="000013DE"/>
    <w:rsid w:val="00002BE8"/>
    <w:rsid w:val="00003050"/>
    <w:rsid w:val="00003D30"/>
    <w:rsid w:val="0000483C"/>
    <w:rsid w:val="00004849"/>
    <w:rsid w:val="000058DC"/>
    <w:rsid w:val="000068A3"/>
    <w:rsid w:val="00007101"/>
    <w:rsid w:val="00007A6C"/>
    <w:rsid w:val="00010FFF"/>
    <w:rsid w:val="000113DF"/>
    <w:rsid w:val="000119C8"/>
    <w:rsid w:val="00012044"/>
    <w:rsid w:val="000121B1"/>
    <w:rsid w:val="00012218"/>
    <w:rsid w:val="000125B3"/>
    <w:rsid w:val="00012778"/>
    <w:rsid w:val="00012B5F"/>
    <w:rsid w:val="00014752"/>
    <w:rsid w:val="00014A0E"/>
    <w:rsid w:val="00014F63"/>
    <w:rsid w:val="0001564C"/>
    <w:rsid w:val="000166C5"/>
    <w:rsid w:val="00016F38"/>
    <w:rsid w:val="00017BC7"/>
    <w:rsid w:val="00020202"/>
    <w:rsid w:val="000203A8"/>
    <w:rsid w:val="0002049B"/>
    <w:rsid w:val="000205AA"/>
    <w:rsid w:val="00020B1D"/>
    <w:rsid w:val="0002167D"/>
    <w:rsid w:val="00021B07"/>
    <w:rsid w:val="00021DF2"/>
    <w:rsid w:val="00021FF6"/>
    <w:rsid w:val="000221EE"/>
    <w:rsid w:val="00022C43"/>
    <w:rsid w:val="00022D6F"/>
    <w:rsid w:val="00022F4B"/>
    <w:rsid w:val="00023A6A"/>
    <w:rsid w:val="00023C30"/>
    <w:rsid w:val="00024404"/>
    <w:rsid w:val="0002494F"/>
    <w:rsid w:val="000249AA"/>
    <w:rsid w:val="00024D96"/>
    <w:rsid w:val="00025C05"/>
    <w:rsid w:val="00025CFC"/>
    <w:rsid w:val="00025DA9"/>
    <w:rsid w:val="000260A7"/>
    <w:rsid w:val="000263F7"/>
    <w:rsid w:val="00026667"/>
    <w:rsid w:val="00026856"/>
    <w:rsid w:val="000274E3"/>
    <w:rsid w:val="00030B76"/>
    <w:rsid w:val="00030BCD"/>
    <w:rsid w:val="0003108A"/>
    <w:rsid w:val="000310E2"/>
    <w:rsid w:val="000311D2"/>
    <w:rsid w:val="00031E19"/>
    <w:rsid w:val="00031EE7"/>
    <w:rsid w:val="00032055"/>
    <w:rsid w:val="0003254A"/>
    <w:rsid w:val="000325C8"/>
    <w:rsid w:val="00032882"/>
    <w:rsid w:val="00034028"/>
    <w:rsid w:val="0003423D"/>
    <w:rsid w:val="0003479E"/>
    <w:rsid w:val="000355C1"/>
    <w:rsid w:val="00035857"/>
    <w:rsid w:val="00035C78"/>
    <w:rsid w:val="0003749E"/>
    <w:rsid w:val="0004026A"/>
    <w:rsid w:val="00040C34"/>
    <w:rsid w:val="00040E1E"/>
    <w:rsid w:val="00041497"/>
    <w:rsid w:val="0004172D"/>
    <w:rsid w:val="000426DE"/>
    <w:rsid w:val="000427EB"/>
    <w:rsid w:val="00042A64"/>
    <w:rsid w:val="00043109"/>
    <w:rsid w:val="00043388"/>
    <w:rsid w:val="00043497"/>
    <w:rsid w:val="00043A3A"/>
    <w:rsid w:val="00043A92"/>
    <w:rsid w:val="00043D83"/>
    <w:rsid w:val="00044439"/>
    <w:rsid w:val="0004549D"/>
    <w:rsid w:val="000457E8"/>
    <w:rsid w:val="00045B12"/>
    <w:rsid w:val="000478D8"/>
    <w:rsid w:val="00047D98"/>
    <w:rsid w:val="00047DD8"/>
    <w:rsid w:val="000503AF"/>
    <w:rsid w:val="00051D86"/>
    <w:rsid w:val="0005354F"/>
    <w:rsid w:val="000540D2"/>
    <w:rsid w:val="000545AF"/>
    <w:rsid w:val="0005479F"/>
    <w:rsid w:val="00054ACA"/>
    <w:rsid w:val="00054F77"/>
    <w:rsid w:val="00055745"/>
    <w:rsid w:val="00055C9A"/>
    <w:rsid w:val="0005618D"/>
    <w:rsid w:val="0005698C"/>
    <w:rsid w:val="00056FA0"/>
    <w:rsid w:val="00060431"/>
    <w:rsid w:val="000604E1"/>
    <w:rsid w:val="00060575"/>
    <w:rsid w:val="0006083F"/>
    <w:rsid w:val="00060BD5"/>
    <w:rsid w:val="00060D02"/>
    <w:rsid w:val="00060E98"/>
    <w:rsid w:val="000613A9"/>
    <w:rsid w:val="00061EEA"/>
    <w:rsid w:val="00061FFD"/>
    <w:rsid w:val="0006206A"/>
    <w:rsid w:val="00062435"/>
    <w:rsid w:val="00062464"/>
    <w:rsid w:val="000631A8"/>
    <w:rsid w:val="00063323"/>
    <w:rsid w:val="000644A7"/>
    <w:rsid w:val="00064E4D"/>
    <w:rsid w:val="000651A8"/>
    <w:rsid w:val="000655F6"/>
    <w:rsid w:val="00065D95"/>
    <w:rsid w:val="00065DE4"/>
    <w:rsid w:val="00066447"/>
    <w:rsid w:val="00066516"/>
    <w:rsid w:val="00066868"/>
    <w:rsid w:val="00066AA8"/>
    <w:rsid w:val="000672D2"/>
    <w:rsid w:val="00067596"/>
    <w:rsid w:val="0007069F"/>
    <w:rsid w:val="00070B31"/>
    <w:rsid w:val="00070DB8"/>
    <w:rsid w:val="0007120C"/>
    <w:rsid w:val="00071930"/>
    <w:rsid w:val="0007206E"/>
    <w:rsid w:val="0007211A"/>
    <w:rsid w:val="00072A10"/>
    <w:rsid w:val="000734CB"/>
    <w:rsid w:val="00073807"/>
    <w:rsid w:val="00073ACE"/>
    <w:rsid w:val="000743E6"/>
    <w:rsid w:val="00074DD4"/>
    <w:rsid w:val="00075201"/>
    <w:rsid w:val="00075D43"/>
    <w:rsid w:val="00075DC8"/>
    <w:rsid w:val="00075E0B"/>
    <w:rsid w:val="00075E5B"/>
    <w:rsid w:val="00075ED3"/>
    <w:rsid w:val="00076446"/>
    <w:rsid w:val="00076518"/>
    <w:rsid w:val="00076AF4"/>
    <w:rsid w:val="00076F49"/>
    <w:rsid w:val="00076FF7"/>
    <w:rsid w:val="00077C57"/>
    <w:rsid w:val="0008055A"/>
    <w:rsid w:val="00080B26"/>
    <w:rsid w:val="00081548"/>
    <w:rsid w:val="000817A0"/>
    <w:rsid w:val="00081A7A"/>
    <w:rsid w:val="00081D37"/>
    <w:rsid w:val="0008202B"/>
    <w:rsid w:val="0008224E"/>
    <w:rsid w:val="00082A5F"/>
    <w:rsid w:val="00082C0A"/>
    <w:rsid w:val="00083414"/>
    <w:rsid w:val="000845B2"/>
    <w:rsid w:val="00084C30"/>
    <w:rsid w:val="00085415"/>
    <w:rsid w:val="00085677"/>
    <w:rsid w:val="00085A74"/>
    <w:rsid w:val="00085FE8"/>
    <w:rsid w:val="000860D6"/>
    <w:rsid w:val="000862EB"/>
    <w:rsid w:val="000866FA"/>
    <w:rsid w:val="000874AC"/>
    <w:rsid w:val="00087910"/>
    <w:rsid w:val="00087D12"/>
    <w:rsid w:val="000901CF"/>
    <w:rsid w:val="000909F0"/>
    <w:rsid w:val="00091A5D"/>
    <w:rsid w:val="00091FB9"/>
    <w:rsid w:val="00092026"/>
    <w:rsid w:val="00092B29"/>
    <w:rsid w:val="00093A65"/>
    <w:rsid w:val="00093D9B"/>
    <w:rsid w:val="00095EF1"/>
    <w:rsid w:val="0009647B"/>
    <w:rsid w:val="0009687B"/>
    <w:rsid w:val="000968BD"/>
    <w:rsid w:val="000970B4"/>
    <w:rsid w:val="0009744F"/>
    <w:rsid w:val="00097737"/>
    <w:rsid w:val="0009795F"/>
    <w:rsid w:val="00097AE2"/>
    <w:rsid w:val="000A0583"/>
    <w:rsid w:val="000A0710"/>
    <w:rsid w:val="000A090D"/>
    <w:rsid w:val="000A0B0A"/>
    <w:rsid w:val="000A163C"/>
    <w:rsid w:val="000A2A7E"/>
    <w:rsid w:val="000A3A6E"/>
    <w:rsid w:val="000A3B12"/>
    <w:rsid w:val="000A3B9C"/>
    <w:rsid w:val="000A40C6"/>
    <w:rsid w:val="000A4649"/>
    <w:rsid w:val="000A4AB6"/>
    <w:rsid w:val="000A4CF3"/>
    <w:rsid w:val="000A609A"/>
    <w:rsid w:val="000A6300"/>
    <w:rsid w:val="000A6FBF"/>
    <w:rsid w:val="000A76F1"/>
    <w:rsid w:val="000A7DAD"/>
    <w:rsid w:val="000B07FA"/>
    <w:rsid w:val="000B0951"/>
    <w:rsid w:val="000B11D4"/>
    <w:rsid w:val="000B1B89"/>
    <w:rsid w:val="000B2306"/>
    <w:rsid w:val="000B2547"/>
    <w:rsid w:val="000B2C4E"/>
    <w:rsid w:val="000B33EA"/>
    <w:rsid w:val="000B3A6F"/>
    <w:rsid w:val="000B3CAD"/>
    <w:rsid w:val="000B3FD4"/>
    <w:rsid w:val="000B462A"/>
    <w:rsid w:val="000B4653"/>
    <w:rsid w:val="000B505A"/>
    <w:rsid w:val="000B524F"/>
    <w:rsid w:val="000B5BC7"/>
    <w:rsid w:val="000B74E2"/>
    <w:rsid w:val="000B7E54"/>
    <w:rsid w:val="000C0FFF"/>
    <w:rsid w:val="000C1E89"/>
    <w:rsid w:val="000C20BF"/>
    <w:rsid w:val="000C4F02"/>
    <w:rsid w:val="000C5003"/>
    <w:rsid w:val="000C516B"/>
    <w:rsid w:val="000C537B"/>
    <w:rsid w:val="000C6290"/>
    <w:rsid w:val="000C62F7"/>
    <w:rsid w:val="000C669A"/>
    <w:rsid w:val="000C675F"/>
    <w:rsid w:val="000C6CBF"/>
    <w:rsid w:val="000C726D"/>
    <w:rsid w:val="000C751C"/>
    <w:rsid w:val="000D0E07"/>
    <w:rsid w:val="000D0F73"/>
    <w:rsid w:val="000D1F18"/>
    <w:rsid w:val="000D1FD5"/>
    <w:rsid w:val="000D2385"/>
    <w:rsid w:val="000D23F6"/>
    <w:rsid w:val="000D2443"/>
    <w:rsid w:val="000D2530"/>
    <w:rsid w:val="000D2FAF"/>
    <w:rsid w:val="000D308B"/>
    <w:rsid w:val="000D31FB"/>
    <w:rsid w:val="000D3D2C"/>
    <w:rsid w:val="000D3E08"/>
    <w:rsid w:val="000D412E"/>
    <w:rsid w:val="000D5BF2"/>
    <w:rsid w:val="000D5DBA"/>
    <w:rsid w:val="000D6767"/>
    <w:rsid w:val="000D6BA7"/>
    <w:rsid w:val="000D7BE0"/>
    <w:rsid w:val="000E0898"/>
    <w:rsid w:val="000E0A50"/>
    <w:rsid w:val="000E0BD6"/>
    <w:rsid w:val="000E12AE"/>
    <w:rsid w:val="000E1B6D"/>
    <w:rsid w:val="000E2897"/>
    <w:rsid w:val="000E3326"/>
    <w:rsid w:val="000E3DE8"/>
    <w:rsid w:val="000E443D"/>
    <w:rsid w:val="000E47A6"/>
    <w:rsid w:val="000E4FED"/>
    <w:rsid w:val="000E527B"/>
    <w:rsid w:val="000E5727"/>
    <w:rsid w:val="000E5A51"/>
    <w:rsid w:val="000E641B"/>
    <w:rsid w:val="000E6D3E"/>
    <w:rsid w:val="000E6DA8"/>
    <w:rsid w:val="000E7256"/>
    <w:rsid w:val="000E74FC"/>
    <w:rsid w:val="000E75FD"/>
    <w:rsid w:val="000F0317"/>
    <w:rsid w:val="000F0447"/>
    <w:rsid w:val="000F05D0"/>
    <w:rsid w:val="000F177A"/>
    <w:rsid w:val="000F198A"/>
    <w:rsid w:val="000F2357"/>
    <w:rsid w:val="000F24B9"/>
    <w:rsid w:val="000F307F"/>
    <w:rsid w:val="000F31BC"/>
    <w:rsid w:val="000F37F6"/>
    <w:rsid w:val="000F4137"/>
    <w:rsid w:val="000F41E0"/>
    <w:rsid w:val="000F4490"/>
    <w:rsid w:val="000F45CE"/>
    <w:rsid w:val="000F4718"/>
    <w:rsid w:val="000F47D2"/>
    <w:rsid w:val="000F4907"/>
    <w:rsid w:val="000F5068"/>
    <w:rsid w:val="000F52BB"/>
    <w:rsid w:val="000F5E94"/>
    <w:rsid w:val="000F5F3F"/>
    <w:rsid w:val="000F60B7"/>
    <w:rsid w:val="000F6304"/>
    <w:rsid w:val="000F6FA4"/>
    <w:rsid w:val="000F702E"/>
    <w:rsid w:val="000F7D86"/>
    <w:rsid w:val="0010046C"/>
    <w:rsid w:val="00100676"/>
    <w:rsid w:val="00101034"/>
    <w:rsid w:val="00101D4E"/>
    <w:rsid w:val="00102858"/>
    <w:rsid w:val="00102C2E"/>
    <w:rsid w:val="00103295"/>
    <w:rsid w:val="00103D8A"/>
    <w:rsid w:val="00103DBF"/>
    <w:rsid w:val="001042BE"/>
    <w:rsid w:val="00104386"/>
    <w:rsid w:val="00104A9A"/>
    <w:rsid w:val="00104E8E"/>
    <w:rsid w:val="00105793"/>
    <w:rsid w:val="0010595A"/>
    <w:rsid w:val="001063BA"/>
    <w:rsid w:val="00107AD4"/>
    <w:rsid w:val="00107DAB"/>
    <w:rsid w:val="001101D4"/>
    <w:rsid w:val="00110BDE"/>
    <w:rsid w:val="00110DE1"/>
    <w:rsid w:val="00110F60"/>
    <w:rsid w:val="001114FD"/>
    <w:rsid w:val="0011152B"/>
    <w:rsid w:val="0011176F"/>
    <w:rsid w:val="001119E3"/>
    <w:rsid w:val="001129F8"/>
    <w:rsid w:val="00112CB0"/>
    <w:rsid w:val="001136B8"/>
    <w:rsid w:val="00113CD1"/>
    <w:rsid w:val="00114425"/>
    <w:rsid w:val="00114747"/>
    <w:rsid w:val="00114E71"/>
    <w:rsid w:val="00115E77"/>
    <w:rsid w:val="00115EFB"/>
    <w:rsid w:val="00115F0C"/>
    <w:rsid w:val="00116EA8"/>
    <w:rsid w:val="00116EAB"/>
    <w:rsid w:val="00117B71"/>
    <w:rsid w:val="001208C8"/>
    <w:rsid w:val="00121266"/>
    <w:rsid w:val="00121311"/>
    <w:rsid w:val="00121FE5"/>
    <w:rsid w:val="00122FFB"/>
    <w:rsid w:val="00123225"/>
    <w:rsid w:val="00123676"/>
    <w:rsid w:val="00123DCB"/>
    <w:rsid w:val="0012651E"/>
    <w:rsid w:val="00126B88"/>
    <w:rsid w:val="00126B8B"/>
    <w:rsid w:val="00127048"/>
    <w:rsid w:val="00127906"/>
    <w:rsid w:val="00127DD1"/>
    <w:rsid w:val="0013023B"/>
    <w:rsid w:val="0013028D"/>
    <w:rsid w:val="0013037C"/>
    <w:rsid w:val="001309DD"/>
    <w:rsid w:val="00130AD9"/>
    <w:rsid w:val="00131614"/>
    <w:rsid w:val="00131A9D"/>
    <w:rsid w:val="00132360"/>
    <w:rsid w:val="00133258"/>
    <w:rsid w:val="00133339"/>
    <w:rsid w:val="00133DA4"/>
    <w:rsid w:val="00133F3E"/>
    <w:rsid w:val="001341AE"/>
    <w:rsid w:val="00134260"/>
    <w:rsid w:val="001370B8"/>
    <w:rsid w:val="001375D7"/>
    <w:rsid w:val="00137A41"/>
    <w:rsid w:val="0014181F"/>
    <w:rsid w:val="00141D0D"/>
    <w:rsid w:val="00142BB1"/>
    <w:rsid w:val="00142BD2"/>
    <w:rsid w:val="00143462"/>
    <w:rsid w:val="001436F9"/>
    <w:rsid w:val="00144B22"/>
    <w:rsid w:val="00144FC7"/>
    <w:rsid w:val="001452E4"/>
    <w:rsid w:val="00145A0A"/>
    <w:rsid w:val="00145E30"/>
    <w:rsid w:val="00145FE0"/>
    <w:rsid w:val="0014665A"/>
    <w:rsid w:val="0014679B"/>
    <w:rsid w:val="00146FBF"/>
    <w:rsid w:val="00147532"/>
    <w:rsid w:val="00147C2B"/>
    <w:rsid w:val="00150094"/>
    <w:rsid w:val="001502B1"/>
    <w:rsid w:val="00150AE6"/>
    <w:rsid w:val="00151785"/>
    <w:rsid w:val="0015190A"/>
    <w:rsid w:val="00151EDA"/>
    <w:rsid w:val="00154052"/>
    <w:rsid w:val="001548E5"/>
    <w:rsid w:val="00154C14"/>
    <w:rsid w:val="00155261"/>
    <w:rsid w:val="001554CA"/>
    <w:rsid w:val="00155588"/>
    <w:rsid w:val="00155659"/>
    <w:rsid w:val="00155760"/>
    <w:rsid w:val="00155E0D"/>
    <w:rsid w:val="00155E9B"/>
    <w:rsid w:val="001566CE"/>
    <w:rsid w:val="00156899"/>
    <w:rsid w:val="00156ADA"/>
    <w:rsid w:val="00156E10"/>
    <w:rsid w:val="0015725D"/>
    <w:rsid w:val="001577D7"/>
    <w:rsid w:val="0015789A"/>
    <w:rsid w:val="00160289"/>
    <w:rsid w:val="00160496"/>
    <w:rsid w:val="00160ABC"/>
    <w:rsid w:val="00161157"/>
    <w:rsid w:val="001611E5"/>
    <w:rsid w:val="00161FEA"/>
    <w:rsid w:val="001624C9"/>
    <w:rsid w:val="00162A2E"/>
    <w:rsid w:val="00162E65"/>
    <w:rsid w:val="00163A41"/>
    <w:rsid w:val="00163A54"/>
    <w:rsid w:val="00163D17"/>
    <w:rsid w:val="00163D57"/>
    <w:rsid w:val="00163F9B"/>
    <w:rsid w:val="0016503F"/>
    <w:rsid w:val="00165489"/>
    <w:rsid w:val="001656BA"/>
    <w:rsid w:val="001659FA"/>
    <w:rsid w:val="0016791F"/>
    <w:rsid w:val="00167D00"/>
    <w:rsid w:val="00167FE4"/>
    <w:rsid w:val="00170148"/>
    <w:rsid w:val="001703FC"/>
    <w:rsid w:val="001711E2"/>
    <w:rsid w:val="0017146B"/>
    <w:rsid w:val="001716DB"/>
    <w:rsid w:val="00171C8B"/>
    <w:rsid w:val="00171DDD"/>
    <w:rsid w:val="00171EC0"/>
    <w:rsid w:val="00171FDE"/>
    <w:rsid w:val="0017253A"/>
    <w:rsid w:val="001729FF"/>
    <w:rsid w:val="00172B02"/>
    <w:rsid w:val="0017337F"/>
    <w:rsid w:val="0017414E"/>
    <w:rsid w:val="001742B9"/>
    <w:rsid w:val="0017471C"/>
    <w:rsid w:val="00175427"/>
    <w:rsid w:val="00176B8A"/>
    <w:rsid w:val="00176EF5"/>
    <w:rsid w:val="0017784A"/>
    <w:rsid w:val="00177DB8"/>
    <w:rsid w:val="00177F75"/>
    <w:rsid w:val="0018025B"/>
    <w:rsid w:val="0018081F"/>
    <w:rsid w:val="00180D78"/>
    <w:rsid w:val="0018153F"/>
    <w:rsid w:val="00181AA7"/>
    <w:rsid w:val="00181C87"/>
    <w:rsid w:val="0018284D"/>
    <w:rsid w:val="00182CAE"/>
    <w:rsid w:val="00182D7A"/>
    <w:rsid w:val="00182E38"/>
    <w:rsid w:val="001840F8"/>
    <w:rsid w:val="0018428D"/>
    <w:rsid w:val="0018447F"/>
    <w:rsid w:val="0018478C"/>
    <w:rsid w:val="001847D2"/>
    <w:rsid w:val="00185A9C"/>
    <w:rsid w:val="00185EAC"/>
    <w:rsid w:val="00185ECE"/>
    <w:rsid w:val="00185EFA"/>
    <w:rsid w:val="001862E7"/>
    <w:rsid w:val="001867CC"/>
    <w:rsid w:val="00186980"/>
    <w:rsid w:val="0018768B"/>
    <w:rsid w:val="001902B5"/>
    <w:rsid w:val="0019069E"/>
    <w:rsid w:val="001909E5"/>
    <w:rsid w:val="00190AB8"/>
    <w:rsid w:val="00191BFF"/>
    <w:rsid w:val="00191FFD"/>
    <w:rsid w:val="00192074"/>
    <w:rsid w:val="001924E5"/>
    <w:rsid w:val="00193490"/>
    <w:rsid w:val="001940C5"/>
    <w:rsid w:val="001942C3"/>
    <w:rsid w:val="001943B9"/>
    <w:rsid w:val="00194EDC"/>
    <w:rsid w:val="001955F2"/>
    <w:rsid w:val="001961E8"/>
    <w:rsid w:val="00197362"/>
    <w:rsid w:val="001974B0"/>
    <w:rsid w:val="001979CF"/>
    <w:rsid w:val="001A00E7"/>
    <w:rsid w:val="001A0796"/>
    <w:rsid w:val="001A09FB"/>
    <w:rsid w:val="001A0D86"/>
    <w:rsid w:val="001A120C"/>
    <w:rsid w:val="001A131F"/>
    <w:rsid w:val="001A1C31"/>
    <w:rsid w:val="001A1EE4"/>
    <w:rsid w:val="001A21D5"/>
    <w:rsid w:val="001A290C"/>
    <w:rsid w:val="001A36DF"/>
    <w:rsid w:val="001A3D8B"/>
    <w:rsid w:val="001A3DE7"/>
    <w:rsid w:val="001A424E"/>
    <w:rsid w:val="001A4BF2"/>
    <w:rsid w:val="001A515E"/>
    <w:rsid w:val="001A6903"/>
    <w:rsid w:val="001A6A42"/>
    <w:rsid w:val="001A6BE5"/>
    <w:rsid w:val="001A71BD"/>
    <w:rsid w:val="001B0179"/>
    <w:rsid w:val="001B0182"/>
    <w:rsid w:val="001B0872"/>
    <w:rsid w:val="001B10BF"/>
    <w:rsid w:val="001B1E44"/>
    <w:rsid w:val="001B3145"/>
    <w:rsid w:val="001B3516"/>
    <w:rsid w:val="001B3559"/>
    <w:rsid w:val="001B3E03"/>
    <w:rsid w:val="001B4471"/>
    <w:rsid w:val="001B45FC"/>
    <w:rsid w:val="001B4930"/>
    <w:rsid w:val="001B5396"/>
    <w:rsid w:val="001B5A56"/>
    <w:rsid w:val="001B64DD"/>
    <w:rsid w:val="001B7948"/>
    <w:rsid w:val="001B7969"/>
    <w:rsid w:val="001B7E7F"/>
    <w:rsid w:val="001C015D"/>
    <w:rsid w:val="001C0436"/>
    <w:rsid w:val="001C133C"/>
    <w:rsid w:val="001C19A4"/>
    <w:rsid w:val="001C2F59"/>
    <w:rsid w:val="001C3058"/>
    <w:rsid w:val="001C3AA8"/>
    <w:rsid w:val="001C4C39"/>
    <w:rsid w:val="001C567C"/>
    <w:rsid w:val="001C57A7"/>
    <w:rsid w:val="001C58E7"/>
    <w:rsid w:val="001C5AEA"/>
    <w:rsid w:val="001C5FC1"/>
    <w:rsid w:val="001C69C4"/>
    <w:rsid w:val="001D067E"/>
    <w:rsid w:val="001D06E6"/>
    <w:rsid w:val="001D0DA5"/>
    <w:rsid w:val="001D4856"/>
    <w:rsid w:val="001D49B1"/>
    <w:rsid w:val="001D5A59"/>
    <w:rsid w:val="001D5D4E"/>
    <w:rsid w:val="001D6279"/>
    <w:rsid w:val="001D7100"/>
    <w:rsid w:val="001D7359"/>
    <w:rsid w:val="001D7A61"/>
    <w:rsid w:val="001E03AD"/>
    <w:rsid w:val="001E0D04"/>
    <w:rsid w:val="001E119E"/>
    <w:rsid w:val="001E14EE"/>
    <w:rsid w:val="001E2278"/>
    <w:rsid w:val="001E2896"/>
    <w:rsid w:val="001E2F39"/>
    <w:rsid w:val="001E36CA"/>
    <w:rsid w:val="001E3CCA"/>
    <w:rsid w:val="001E4B81"/>
    <w:rsid w:val="001E4C28"/>
    <w:rsid w:val="001E5BDA"/>
    <w:rsid w:val="001E6499"/>
    <w:rsid w:val="001E6A85"/>
    <w:rsid w:val="001E6D92"/>
    <w:rsid w:val="001E707E"/>
    <w:rsid w:val="001E7A9C"/>
    <w:rsid w:val="001F00E9"/>
    <w:rsid w:val="001F0B94"/>
    <w:rsid w:val="001F0CD5"/>
    <w:rsid w:val="001F1CFE"/>
    <w:rsid w:val="001F2821"/>
    <w:rsid w:val="001F2E4B"/>
    <w:rsid w:val="001F2FFB"/>
    <w:rsid w:val="001F3719"/>
    <w:rsid w:val="001F3B68"/>
    <w:rsid w:val="001F3E90"/>
    <w:rsid w:val="001F3F3E"/>
    <w:rsid w:val="001F40A8"/>
    <w:rsid w:val="001F43DC"/>
    <w:rsid w:val="001F4F14"/>
    <w:rsid w:val="001F54D5"/>
    <w:rsid w:val="001F5677"/>
    <w:rsid w:val="001F58BB"/>
    <w:rsid w:val="001F5D92"/>
    <w:rsid w:val="001F6657"/>
    <w:rsid w:val="001F7324"/>
    <w:rsid w:val="001F7CF7"/>
    <w:rsid w:val="00200B3F"/>
    <w:rsid w:val="00201B7C"/>
    <w:rsid w:val="0020252A"/>
    <w:rsid w:val="00202F71"/>
    <w:rsid w:val="00203873"/>
    <w:rsid w:val="00204061"/>
    <w:rsid w:val="00205408"/>
    <w:rsid w:val="002055DC"/>
    <w:rsid w:val="00205B61"/>
    <w:rsid w:val="00206B65"/>
    <w:rsid w:val="00206EB3"/>
    <w:rsid w:val="00207035"/>
    <w:rsid w:val="00207165"/>
    <w:rsid w:val="00207868"/>
    <w:rsid w:val="002102BE"/>
    <w:rsid w:val="00210372"/>
    <w:rsid w:val="00211A62"/>
    <w:rsid w:val="00211DA6"/>
    <w:rsid w:val="00212109"/>
    <w:rsid w:val="00212218"/>
    <w:rsid w:val="0021328C"/>
    <w:rsid w:val="00213721"/>
    <w:rsid w:val="00214768"/>
    <w:rsid w:val="0021479B"/>
    <w:rsid w:val="002150D5"/>
    <w:rsid w:val="00215840"/>
    <w:rsid w:val="0021618E"/>
    <w:rsid w:val="0021619F"/>
    <w:rsid w:val="0021622E"/>
    <w:rsid w:val="0021670F"/>
    <w:rsid w:val="00216969"/>
    <w:rsid w:val="00216B64"/>
    <w:rsid w:val="00216E1C"/>
    <w:rsid w:val="002172A3"/>
    <w:rsid w:val="00217482"/>
    <w:rsid w:val="00217CD2"/>
    <w:rsid w:val="00220287"/>
    <w:rsid w:val="002202BE"/>
    <w:rsid w:val="00220385"/>
    <w:rsid w:val="002221B6"/>
    <w:rsid w:val="002226AC"/>
    <w:rsid w:val="00222768"/>
    <w:rsid w:val="0022298C"/>
    <w:rsid w:val="002233BB"/>
    <w:rsid w:val="002238CE"/>
    <w:rsid w:val="0022467D"/>
    <w:rsid w:val="0022473E"/>
    <w:rsid w:val="002252E7"/>
    <w:rsid w:val="00225506"/>
    <w:rsid w:val="00225B12"/>
    <w:rsid w:val="00225BAA"/>
    <w:rsid w:val="0022670F"/>
    <w:rsid w:val="002267DE"/>
    <w:rsid w:val="00227A6B"/>
    <w:rsid w:val="00230AEA"/>
    <w:rsid w:val="00230F9F"/>
    <w:rsid w:val="002312DE"/>
    <w:rsid w:val="00231591"/>
    <w:rsid w:val="002315F3"/>
    <w:rsid w:val="002317E6"/>
    <w:rsid w:val="00232119"/>
    <w:rsid w:val="002321A9"/>
    <w:rsid w:val="00232C1D"/>
    <w:rsid w:val="002333ED"/>
    <w:rsid w:val="0023345E"/>
    <w:rsid w:val="00233C53"/>
    <w:rsid w:val="00234FAB"/>
    <w:rsid w:val="00235865"/>
    <w:rsid w:val="00235985"/>
    <w:rsid w:val="00236272"/>
    <w:rsid w:val="00236720"/>
    <w:rsid w:val="002372CB"/>
    <w:rsid w:val="00237530"/>
    <w:rsid w:val="00237941"/>
    <w:rsid w:val="00237CC5"/>
    <w:rsid w:val="00237F67"/>
    <w:rsid w:val="002407BA"/>
    <w:rsid w:val="00240EEB"/>
    <w:rsid w:val="002417B1"/>
    <w:rsid w:val="00241ABD"/>
    <w:rsid w:val="00241AD4"/>
    <w:rsid w:val="00241C15"/>
    <w:rsid w:val="002425BD"/>
    <w:rsid w:val="002425E0"/>
    <w:rsid w:val="00242E1D"/>
    <w:rsid w:val="002435F1"/>
    <w:rsid w:val="00244E35"/>
    <w:rsid w:val="002452C7"/>
    <w:rsid w:val="00245419"/>
    <w:rsid w:val="0024586D"/>
    <w:rsid w:val="00245EC4"/>
    <w:rsid w:val="0024627B"/>
    <w:rsid w:val="002468CE"/>
    <w:rsid w:val="00247373"/>
    <w:rsid w:val="00250043"/>
    <w:rsid w:val="0025101A"/>
    <w:rsid w:val="002511B9"/>
    <w:rsid w:val="00251796"/>
    <w:rsid w:val="0025253D"/>
    <w:rsid w:val="00253742"/>
    <w:rsid w:val="00253BEF"/>
    <w:rsid w:val="00254036"/>
    <w:rsid w:val="002560BD"/>
    <w:rsid w:val="002563DD"/>
    <w:rsid w:val="002567C7"/>
    <w:rsid w:val="00256856"/>
    <w:rsid w:val="002568EB"/>
    <w:rsid w:val="00257322"/>
    <w:rsid w:val="0025746C"/>
    <w:rsid w:val="00257778"/>
    <w:rsid w:val="00257D5F"/>
    <w:rsid w:val="002608B7"/>
    <w:rsid w:val="002608BB"/>
    <w:rsid w:val="00260C58"/>
    <w:rsid w:val="0026185E"/>
    <w:rsid w:val="00261905"/>
    <w:rsid w:val="002627DB"/>
    <w:rsid w:val="00262A8D"/>
    <w:rsid w:val="00262DC9"/>
    <w:rsid w:val="00262E39"/>
    <w:rsid w:val="00262F94"/>
    <w:rsid w:val="0026305E"/>
    <w:rsid w:val="00263921"/>
    <w:rsid w:val="002639C4"/>
    <w:rsid w:val="00263A1E"/>
    <w:rsid w:val="00263EA8"/>
    <w:rsid w:val="00264734"/>
    <w:rsid w:val="00264977"/>
    <w:rsid w:val="00265093"/>
    <w:rsid w:val="00265413"/>
    <w:rsid w:val="00265A29"/>
    <w:rsid w:val="002660E1"/>
    <w:rsid w:val="00266123"/>
    <w:rsid w:val="0026667F"/>
    <w:rsid w:val="00266B1A"/>
    <w:rsid w:val="00266DE2"/>
    <w:rsid w:val="00267DBC"/>
    <w:rsid w:val="00270344"/>
    <w:rsid w:val="00270A71"/>
    <w:rsid w:val="00270CB8"/>
    <w:rsid w:val="00271521"/>
    <w:rsid w:val="002716BE"/>
    <w:rsid w:val="00271EA2"/>
    <w:rsid w:val="002725D9"/>
    <w:rsid w:val="00272785"/>
    <w:rsid w:val="00272B9B"/>
    <w:rsid w:val="00272DB5"/>
    <w:rsid w:val="002733E5"/>
    <w:rsid w:val="002734B6"/>
    <w:rsid w:val="0027567A"/>
    <w:rsid w:val="00275B66"/>
    <w:rsid w:val="0027620A"/>
    <w:rsid w:val="00276234"/>
    <w:rsid w:val="002764C4"/>
    <w:rsid w:val="002768BA"/>
    <w:rsid w:val="002769AB"/>
    <w:rsid w:val="002770E8"/>
    <w:rsid w:val="00277366"/>
    <w:rsid w:val="00277870"/>
    <w:rsid w:val="00277B60"/>
    <w:rsid w:val="00277F3D"/>
    <w:rsid w:val="002806AC"/>
    <w:rsid w:val="00280EC1"/>
    <w:rsid w:val="002812CC"/>
    <w:rsid w:val="00281615"/>
    <w:rsid w:val="00281ADB"/>
    <w:rsid w:val="00281AF3"/>
    <w:rsid w:val="00281B34"/>
    <w:rsid w:val="00283E11"/>
    <w:rsid w:val="00284758"/>
    <w:rsid w:val="00284C4C"/>
    <w:rsid w:val="00285A14"/>
    <w:rsid w:val="00285E97"/>
    <w:rsid w:val="00286A02"/>
    <w:rsid w:val="00287248"/>
    <w:rsid w:val="002873C5"/>
    <w:rsid w:val="00287711"/>
    <w:rsid w:val="00287A9F"/>
    <w:rsid w:val="00287E67"/>
    <w:rsid w:val="0029053C"/>
    <w:rsid w:val="00290AD3"/>
    <w:rsid w:val="002919E8"/>
    <w:rsid w:val="00291EA0"/>
    <w:rsid w:val="00291EBD"/>
    <w:rsid w:val="00293A91"/>
    <w:rsid w:val="00293FF9"/>
    <w:rsid w:val="00294423"/>
    <w:rsid w:val="0029447F"/>
    <w:rsid w:val="002945FF"/>
    <w:rsid w:val="002955A3"/>
    <w:rsid w:val="00295612"/>
    <w:rsid w:val="00295C9C"/>
    <w:rsid w:val="002960E4"/>
    <w:rsid w:val="002963DD"/>
    <w:rsid w:val="00296A49"/>
    <w:rsid w:val="00296ACF"/>
    <w:rsid w:val="00297020"/>
    <w:rsid w:val="002970FB"/>
    <w:rsid w:val="00297250"/>
    <w:rsid w:val="00297B61"/>
    <w:rsid w:val="002A0CB1"/>
    <w:rsid w:val="002A13BC"/>
    <w:rsid w:val="002A1D75"/>
    <w:rsid w:val="002A3570"/>
    <w:rsid w:val="002A38F9"/>
    <w:rsid w:val="002A48C9"/>
    <w:rsid w:val="002A4F5F"/>
    <w:rsid w:val="002A6122"/>
    <w:rsid w:val="002B0BE0"/>
    <w:rsid w:val="002B1CE3"/>
    <w:rsid w:val="002B22A4"/>
    <w:rsid w:val="002B29CA"/>
    <w:rsid w:val="002B2AC3"/>
    <w:rsid w:val="002B3D7A"/>
    <w:rsid w:val="002B3F87"/>
    <w:rsid w:val="002B404D"/>
    <w:rsid w:val="002B4451"/>
    <w:rsid w:val="002B5205"/>
    <w:rsid w:val="002B5365"/>
    <w:rsid w:val="002B5376"/>
    <w:rsid w:val="002B54A8"/>
    <w:rsid w:val="002B6562"/>
    <w:rsid w:val="002B6AE7"/>
    <w:rsid w:val="002B6F2C"/>
    <w:rsid w:val="002B7614"/>
    <w:rsid w:val="002B7B9F"/>
    <w:rsid w:val="002B7CD7"/>
    <w:rsid w:val="002B7CF6"/>
    <w:rsid w:val="002C00AC"/>
    <w:rsid w:val="002C1507"/>
    <w:rsid w:val="002C2558"/>
    <w:rsid w:val="002C2ABD"/>
    <w:rsid w:val="002C3589"/>
    <w:rsid w:val="002C4EF8"/>
    <w:rsid w:val="002C4F60"/>
    <w:rsid w:val="002C5932"/>
    <w:rsid w:val="002C66D7"/>
    <w:rsid w:val="002C6A96"/>
    <w:rsid w:val="002C6FEA"/>
    <w:rsid w:val="002C74A3"/>
    <w:rsid w:val="002C7543"/>
    <w:rsid w:val="002D13CF"/>
    <w:rsid w:val="002D286C"/>
    <w:rsid w:val="002D3672"/>
    <w:rsid w:val="002D3C07"/>
    <w:rsid w:val="002D404E"/>
    <w:rsid w:val="002D443E"/>
    <w:rsid w:val="002D4625"/>
    <w:rsid w:val="002D470C"/>
    <w:rsid w:val="002D48A4"/>
    <w:rsid w:val="002D5308"/>
    <w:rsid w:val="002D58C6"/>
    <w:rsid w:val="002D62E3"/>
    <w:rsid w:val="002D6AA8"/>
    <w:rsid w:val="002D6AF9"/>
    <w:rsid w:val="002D7C75"/>
    <w:rsid w:val="002D7E84"/>
    <w:rsid w:val="002E202B"/>
    <w:rsid w:val="002E24BE"/>
    <w:rsid w:val="002E2668"/>
    <w:rsid w:val="002E2CC4"/>
    <w:rsid w:val="002E2E2C"/>
    <w:rsid w:val="002E32D7"/>
    <w:rsid w:val="002E330D"/>
    <w:rsid w:val="002E3688"/>
    <w:rsid w:val="002E36A0"/>
    <w:rsid w:val="002E3752"/>
    <w:rsid w:val="002E3D59"/>
    <w:rsid w:val="002E41B3"/>
    <w:rsid w:val="002E49C7"/>
    <w:rsid w:val="002E4D67"/>
    <w:rsid w:val="002E4DF2"/>
    <w:rsid w:val="002E5590"/>
    <w:rsid w:val="002E6314"/>
    <w:rsid w:val="002F0260"/>
    <w:rsid w:val="002F09E1"/>
    <w:rsid w:val="002F12AB"/>
    <w:rsid w:val="002F1BA8"/>
    <w:rsid w:val="002F23AA"/>
    <w:rsid w:val="002F3550"/>
    <w:rsid w:val="002F55A4"/>
    <w:rsid w:val="002F5DEA"/>
    <w:rsid w:val="002F6195"/>
    <w:rsid w:val="002F6765"/>
    <w:rsid w:val="002F7343"/>
    <w:rsid w:val="002F760E"/>
    <w:rsid w:val="002F77C4"/>
    <w:rsid w:val="002F7C82"/>
    <w:rsid w:val="00300385"/>
    <w:rsid w:val="00300929"/>
    <w:rsid w:val="00301C5D"/>
    <w:rsid w:val="00301FF2"/>
    <w:rsid w:val="00302BE0"/>
    <w:rsid w:val="00302EA5"/>
    <w:rsid w:val="00303640"/>
    <w:rsid w:val="003038B7"/>
    <w:rsid w:val="003046EB"/>
    <w:rsid w:val="00304F2F"/>
    <w:rsid w:val="0030549D"/>
    <w:rsid w:val="0030571D"/>
    <w:rsid w:val="003059A6"/>
    <w:rsid w:val="00305D7D"/>
    <w:rsid w:val="00306216"/>
    <w:rsid w:val="0030622C"/>
    <w:rsid w:val="00307817"/>
    <w:rsid w:val="00307980"/>
    <w:rsid w:val="00307F6A"/>
    <w:rsid w:val="00307FED"/>
    <w:rsid w:val="00310185"/>
    <w:rsid w:val="00310400"/>
    <w:rsid w:val="0031212D"/>
    <w:rsid w:val="0031277F"/>
    <w:rsid w:val="00312861"/>
    <w:rsid w:val="00312FDE"/>
    <w:rsid w:val="00313D29"/>
    <w:rsid w:val="00313E52"/>
    <w:rsid w:val="00313E68"/>
    <w:rsid w:val="00314579"/>
    <w:rsid w:val="00314F1B"/>
    <w:rsid w:val="003156B7"/>
    <w:rsid w:val="00315D4C"/>
    <w:rsid w:val="003162ED"/>
    <w:rsid w:val="0031640D"/>
    <w:rsid w:val="0032032F"/>
    <w:rsid w:val="00320730"/>
    <w:rsid w:val="00322458"/>
    <w:rsid w:val="00322556"/>
    <w:rsid w:val="003225DC"/>
    <w:rsid w:val="00323E15"/>
    <w:rsid w:val="003240D3"/>
    <w:rsid w:val="003242D3"/>
    <w:rsid w:val="00324C2A"/>
    <w:rsid w:val="00324ED1"/>
    <w:rsid w:val="00325403"/>
    <w:rsid w:val="003257D6"/>
    <w:rsid w:val="00325C56"/>
    <w:rsid w:val="00326428"/>
    <w:rsid w:val="003269A2"/>
    <w:rsid w:val="0032764D"/>
    <w:rsid w:val="00327A96"/>
    <w:rsid w:val="00327EC5"/>
    <w:rsid w:val="00330E40"/>
    <w:rsid w:val="003314DF"/>
    <w:rsid w:val="003320C9"/>
    <w:rsid w:val="00332511"/>
    <w:rsid w:val="00332DB9"/>
    <w:rsid w:val="00333982"/>
    <w:rsid w:val="00333C8A"/>
    <w:rsid w:val="00333CD6"/>
    <w:rsid w:val="00334E2D"/>
    <w:rsid w:val="003355C2"/>
    <w:rsid w:val="00335D44"/>
    <w:rsid w:val="003362F3"/>
    <w:rsid w:val="00336B43"/>
    <w:rsid w:val="003370CC"/>
    <w:rsid w:val="00337256"/>
    <w:rsid w:val="0033753A"/>
    <w:rsid w:val="00337788"/>
    <w:rsid w:val="003410B3"/>
    <w:rsid w:val="00342576"/>
    <w:rsid w:val="00342B57"/>
    <w:rsid w:val="00343600"/>
    <w:rsid w:val="0034361C"/>
    <w:rsid w:val="00343B4D"/>
    <w:rsid w:val="00344DA8"/>
    <w:rsid w:val="00345394"/>
    <w:rsid w:val="00345489"/>
    <w:rsid w:val="00345973"/>
    <w:rsid w:val="00345C50"/>
    <w:rsid w:val="00346A32"/>
    <w:rsid w:val="00347870"/>
    <w:rsid w:val="00347E21"/>
    <w:rsid w:val="0035051F"/>
    <w:rsid w:val="0035095E"/>
    <w:rsid w:val="00351607"/>
    <w:rsid w:val="003516FE"/>
    <w:rsid w:val="00351744"/>
    <w:rsid w:val="00351C12"/>
    <w:rsid w:val="00351F9B"/>
    <w:rsid w:val="0035338E"/>
    <w:rsid w:val="003533B7"/>
    <w:rsid w:val="00353425"/>
    <w:rsid w:val="0035392E"/>
    <w:rsid w:val="00353FD6"/>
    <w:rsid w:val="00354110"/>
    <w:rsid w:val="0035609C"/>
    <w:rsid w:val="003566D8"/>
    <w:rsid w:val="00357FAB"/>
    <w:rsid w:val="003600C0"/>
    <w:rsid w:val="003604F3"/>
    <w:rsid w:val="00360E68"/>
    <w:rsid w:val="00360FD7"/>
    <w:rsid w:val="00362A79"/>
    <w:rsid w:val="00363562"/>
    <w:rsid w:val="00364CAA"/>
    <w:rsid w:val="003650C6"/>
    <w:rsid w:val="00365783"/>
    <w:rsid w:val="003657C9"/>
    <w:rsid w:val="00365C77"/>
    <w:rsid w:val="00365F68"/>
    <w:rsid w:val="003663B3"/>
    <w:rsid w:val="00366576"/>
    <w:rsid w:val="00366867"/>
    <w:rsid w:val="0036700F"/>
    <w:rsid w:val="003677C2"/>
    <w:rsid w:val="003701E5"/>
    <w:rsid w:val="00370FD4"/>
    <w:rsid w:val="00371596"/>
    <w:rsid w:val="00371789"/>
    <w:rsid w:val="00371A41"/>
    <w:rsid w:val="00371B9D"/>
    <w:rsid w:val="00372263"/>
    <w:rsid w:val="003725AC"/>
    <w:rsid w:val="0037278C"/>
    <w:rsid w:val="00372871"/>
    <w:rsid w:val="00372EBD"/>
    <w:rsid w:val="00373875"/>
    <w:rsid w:val="0037409D"/>
    <w:rsid w:val="003740F1"/>
    <w:rsid w:val="003749A2"/>
    <w:rsid w:val="00374C74"/>
    <w:rsid w:val="00374D3C"/>
    <w:rsid w:val="00375565"/>
    <w:rsid w:val="00375C9C"/>
    <w:rsid w:val="0037656B"/>
    <w:rsid w:val="00377330"/>
    <w:rsid w:val="00377C3E"/>
    <w:rsid w:val="003805A2"/>
    <w:rsid w:val="003805D4"/>
    <w:rsid w:val="0038084D"/>
    <w:rsid w:val="00381EC1"/>
    <w:rsid w:val="0038287C"/>
    <w:rsid w:val="00382886"/>
    <w:rsid w:val="00382C17"/>
    <w:rsid w:val="0038334A"/>
    <w:rsid w:val="003838AC"/>
    <w:rsid w:val="0038443D"/>
    <w:rsid w:val="0038448C"/>
    <w:rsid w:val="00384792"/>
    <w:rsid w:val="003847F6"/>
    <w:rsid w:val="00384E27"/>
    <w:rsid w:val="00384EE3"/>
    <w:rsid w:val="0038598E"/>
    <w:rsid w:val="00385FD8"/>
    <w:rsid w:val="003864CA"/>
    <w:rsid w:val="003865EA"/>
    <w:rsid w:val="00386D0B"/>
    <w:rsid w:val="00386D95"/>
    <w:rsid w:val="003870AD"/>
    <w:rsid w:val="003905CD"/>
    <w:rsid w:val="00390DE2"/>
    <w:rsid w:val="00391193"/>
    <w:rsid w:val="00391A9D"/>
    <w:rsid w:val="0039233E"/>
    <w:rsid w:val="00392596"/>
    <w:rsid w:val="00393A99"/>
    <w:rsid w:val="00393AFA"/>
    <w:rsid w:val="0039477A"/>
    <w:rsid w:val="00394A03"/>
    <w:rsid w:val="00395BED"/>
    <w:rsid w:val="00396526"/>
    <w:rsid w:val="00396A92"/>
    <w:rsid w:val="00397B05"/>
    <w:rsid w:val="00397D60"/>
    <w:rsid w:val="003A0119"/>
    <w:rsid w:val="003A0472"/>
    <w:rsid w:val="003A08C1"/>
    <w:rsid w:val="003A09AA"/>
    <w:rsid w:val="003A1324"/>
    <w:rsid w:val="003A133A"/>
    <w:rsid w:val="003A1E9C"/>
    <w:rsid w:val="003A2160"/>
    <w:rsid w:val="003A24F0"/>
    <w:rsid w:val="003A38A3"/>
    <w:rsid w:val="003A3CB0"/>
    <w:rsid w:val="003A3DF9"/>
    <w:rsid w:val="003A3F1A"/>
    <w:rsid w:val="003A3FD0"/>
    <w:rsid w:val="003A421E"/>
    <w:rsid w:val="003A4834"/>
    <w:rsid w:val="003A4B45"/>
    <w:rsid w:val="003A4CFD"/>
    <w:rsid w:val="003A57E3"/>
    <w:rsid w:val="003A74C6"/>
    <w:rsid w:val="003A7627"/>
    <w:rsid w:val="003A7CCB"/>
    <w:rsid w:val="003A7F76"/>
    <w:rsid w:val="003B03EB"/>
    <w:rsid w:val="003B051D"/>
    <w:rsid w:val="003B08AC"/>
    <w:rsid w:val="003B0A82"/>
    <w:rsid w:val="003B1CD5"/>
    <w:rsid w:val="003B1DB7"/>
    <w:rsid w:val="003B200F"/>
    <w:rsid w:val="003B2434"/>
    <w:rsid w:val="003B2A11"/>
    <w:rsid w:val="003B2DD9"/>
    <w:rsid w:val="003B2EB7"/>
    <w:rsid w:val="003B3E35"/>
    <w:rsid w:val="003B40EA"/>
    <w:rsid w:val="003B4307"/>
    <w:rsid w:val="003B522C"/>
    <w:rsid w:val="003B5562"/>
    <w:rsid w:val="003B56EB"/>
    <w:rsid w:val="003B6256"/>
    <w:rsid w:val="003B6633"/>
    <w:rsid w:val="003B6879"/>
    <w:rsid w:val="003B79B4"/>
    <w:rsid w:val="003C045A"/>
    <w:rsid w:val="003C06FD"/>
    <w:rsid w:val="003C0D9E"/>
    <w:rsid w:val="003C1F38"/>
    <w:rsid w:val="003C1F99"/>
    <w:rsid w:val="003C2A0B"/>
    <w:rsid w:val="003C2D56"/>
    <w:rsid w:val="003C4E7F"/>
    <w:rsid w:val="003C5873"/>
    <w:rsid w:val="003C6B17"/>
    <w:rsid w:val="003C743E"/>
    <w:rsid w:val="003C7777"/>
    <w:rsid w:val="003C7A55"/>
    <w:rsid w:val="003C7C91"/>
    <w:rsid w:val="003D0053"/>
    <w:rsid w:val="003D1D50"/>
    <w:rsid w:val="003D21AD"/>
    <w:rsid w:val="003D23BA"/>
    <w:rsid w:val="003D267E"/>
    <w:rsid w:val="003D28D0"/>
    <w:rsid w:val="003D301C"/>
    <w:rsid w:val="003D33A0"/>
    <w:rsid w:val="003D3912"/>
    <w:rsid w:val="003D63BB"/>
    <w:rsid w:val="003D6B42"/>
    <w:rsid w:val="003D7F5A"/>
    <w:rsid w:val="003E10E5"/>
    <w:rsid w:val="003E1178"/>
    <w:rsid w:val="003E162B"/>
    <w:rsid w:val="003E1A65"/>
    <w:rsid w:val="003E217E"/>
    <w:rsid w:val="003E260C"/>
    <w:rsid w:val="003E2882"/>
    <w:rsid w:val="003E29E9"/>
    <w:rsid w:val="003E2F70"/>
    <w:rsid w:val="003E3248"/>
    <w:rsid w:val="003E3526"/>
    <w:rsid w:val="003E39BD"/>
    <w:rsid w:val="003E446E"/>
    <w:rsid w:val="003E4601"/>
    <w:rsid w:val="003E5129"/>
    <w:rsid w:val="003E57B6"/>
    <w:rsid w:val="003E5938"/>
    <w:rsid w:val="003E5B20"/>
    <w:rsid w:val="003E615E"/>
    <w:rsid w:val="003E68B0"/>
    <w:rsid w:val="003E70AB"/>
    <w:rsid w:val="003E71CF"/>
    <w:rsid w:val="003E7FAE"/>
    <w:rsid w:val="003F0686"/>
    <w:rsid w:val="003F0C56"/>
    <w:rsid w:val="003F0DBF"/>
    <w:rsid w:val="003F0F17"/>
    <w:rsid w:val="003F167F"/>
    <w:rsid w:val="003F249C"/>
    <w:rsid w:val="003F26AE"/>
    <w:rsid w:val="003F2C6D"/>
    <w:rsid w:val="003F2CA0"/>
    <w:rsid w:val="003F33D2"/>
    <w:rsid w:val="003F36B5"/>
    <w:rsid w:val="003F3FA5"/>
    <w:rsid w:val="003F4951"/>
    <w:rsid w:val="003F4B80"/>
    <w:rsid w:val="003F4CD2"/>
    <w:rsid w:val="003F5221"/>
    <w:rsid w:val="003F5D13"/>
    <w:rsid w:val="003F5E29"/>
    <w:rsid w:val="003F6CE1"/>
    <w:rsid w:val="003F6CE3"/>
    <w:rsid w:val="003F7089"/>
    <w:rsid w:val="003F708B"/>
    <w:rsid w:val="003F7150"/>
    <w:rsid w:val="003F7420"/>
    <w:rsid w:val="00400A36"/>
    <w:rsid w:val="00400FCD"/>
    <w:rsid w:val="0040128D"/>
    <w:rsid w:val="00401457"/>
    <w:rsid w:val="0040176C"/>
    <w:rsid w:val="00401CD3"/>
    <w:rsid w:val="004022D4"/>
    <w:rsid w:val="00402525"/>
    <w:rsid w:val="00402A9A"/>
    <w:rsid w:val="00402E07"/>
    <w:rsid w:val="00402E28"/>
    <w:rsid w:val="0040477C"/>
    <w:rsid w:val="0040489D"/>
    <w:rsid w:val="00404D47"/>
    <w:rsid w:val="004051EA"/>
    <w:rsid w:val="004058E2"/>
    <w:rsid w:val="00405955"/>
    <w:rsid w:val="00405AD9"/>
    <w:rsid w:val="00405F2E"/>
    <w:rsid w:val="00406401"/>
    <w:rsid w:val="004066D8"/>
    <w:rsid w:val="00407C4B"/>
    <w:rsid w:val="00410DA1"/>
    <w:rsid w:val="004118D8"/>
    <w:rsid w:val="00411E54"/>
    <w:rsid w:val="00411F68"/>
    <w:rsid w:val="00412C43"/>
    <w:rsid w:val="004152C8"/>
    <w:rsid w:val="0041534F"/>
    <w:rsid w:val="004169DD"/>
    <w:rsid w:val="004172D6"/>
    <w:rsid w:val="00420874"/>
    <w:rsid w:val="0042180D"/>
    <w:rsid w:val="00421E5E"/>
    <w:rsid w:val="004226A6"/>
    <w:rsid w:val="00422B37"/>
    <w:rsid w:val="00422CE4"/>
    <w:rsid w:val="00422EF8"/>
    <w:rsid w:val="00423C34"/>
    <w:rsid w:val="004245FC"/>
    <w:rsid w:val="0042499D"/>
    <w:rsid w:val="00424B78"/>
    <w:rsid w:val="00424ED3"/>
    <w:rsid w:val="004250BB"/>
    <w:rsid w:val="004255CC"/>
    <w:rsid w:val="00426580"/>
    <w:rsid w:val="0042673D"/>
    <w:rsid w:val="004267D8"/>
    <w:rsid w:val="0042691B"/>
    <w:rsid w:val="0042692D"/>
    <w:rsid w:val="004272CC"/>
    <w:rsid w:val="004275F2"/>
    <w:rsid w:val="004276D4"/>
    <w:rsid w:val="0042774B"/>
    <w:rsid w:val="0042774E"/>
    <w:rsid w:val="00427757"/>
    <w:rsid w:val="004303E2"/>
    <w:rsid w:val="004305C8"/>
    <w:rsid w:val="004305E5"/>
    <w:rsid w:val="00430762"/>
    <w:rsid w:val="004311C2"/>
    <w:rsid w:val="00431283"/>
    <w:rsid w:val="00431FFA"/>
    <w:rsid w:val="0043209A"/>
    <w:rsid w:val="00432760"/>
    <w:rsid w:val="00433461"/>
    <w:rsid w:val="00433B62"/>
    <w:rsid w:val="00433DFB"/>
    <w:rsid w:val="00434D0B"/>
    <w:rsid w:val="00434FC3"/>
    <w:rsid w:val="00435067"/>
    <w:rsid w:val="004351C4"/>
    <w:rsid w:val="0043539E"/>
    <w:rsid w:val="00435640"/>
    <w:rsid w:val="00435993"/>
    <w:rsid w:val="00436692"/>
    <w:rsid w:val="004366A1"/>
    <w:rsid w:val="00436C65"/>
    <w:rsid w:val="004374C4"/>
    <w:rsid w:val="00437A11"/>
    <w:rsid w:val="0044036F"/>
    <w:rsid w:val="00440900"/>
    <w:rsid w:val="00440C36"/>
    <w:rsid w:val="00441234"/>
    <w:rsid w:val="0044183D"/>
    <w:rsid w:val="00441FA6"/>
    <w:rsid w:val="0044264B"/>
    <w:rsid w:val="00443ADA"/>
    <w:rsid w:val="00444324"/>
    <w:rsid w:val="00444A81"/>
    <w:rsid w:val="00446D67"/>
    <w:rsid w:val="00447B51"/>
    <w:rsid w:val="00450114"/>
    <w:rsid w:val="004503E4"/>
    <w:rsid w:val="004505A1"/>
    <w:rsid w:val="00450DB5"/>
    <w:rsid w:val="00450FFF"/>
    <w:rsid w:val="004523E5"/>
    <w:rsid w:val="00452A4E"/>
    <w:rsid w:val="00453500"/>
    <w:rsid w:val="00453F43"/>
    <w:rsid w:val="004542A6"/>
    <w:rsid w:val="00454EAD"/>
    <w:rsid w:val="00454F23"/>
    <w:rsid w:val="00455CA1"/>
    <w:rsid w:val="004560D6"/>
    <w:rsid w:val="004562AD"/>
    <w:rsid w:val="004566AB"/>
    <w:rsid w:val="0045693E"/>
    <w:rsid w:val="00456FD0"/>
    <w:rsid w:val="004570BE"/>
    <w:rsid w:val="00460510"/>
    <w:rsid w:val="0046080E"/>
    <w:rsid w:val="00460987"/>
    <w:rsid w:val="00460AC3"/>
    <w:rsid w:val="004629F4"/>
    <w:rsid w:val="00462AD2"/>
    <w:rsid w:val="00463792"/>
    <w:rsid w:val="004638A2"/>
    <w:rsid w:val="0046497A"/>
    <w:rsid w:val="004655A7"/>
    <w:rsid w:val="00465A68"/>
    <w:rsid w:val="00466CDC"/>
    <w:rsid w:val="004677E9"/>
    <w:rsid w:val="00470130"/>
    <w:rsid w:val="00470173"/>
    <w:rsid w:val="00471B73"/>
    <w:rsid w:val="00471CF1"/>
    <w:rsid w:val="004720FF"/>
    <w:rsid w:val="00472E0B"/>
    <w:rsid w:val="0047312B"/>
    <w:rsid w:val="004731B8"/>
    <w:rsid w:val="00473366"/>
    <w:rsid w:val="004737A1"/>
    <w:rsid w:val="00473A33"/>
    <w:rsid w:val="004745EC"/>
    <w:rsid w:val="004751A3"/>
    <w:rsid w:val="004760C6"/>
    <w:rsid w:val="004769C5"/>
    <w:rsid w:val="00477997"/>
    <w:rsid w:val="004800F8"/>
    <w:rsid w:val="004803AF"/>
    <w:rsid w:val="004803CD"/>
    <w:rsid w:val="0048082A"/>
    <w:rsid w:val="00481298"/>
    <w:rsid w:val="00483B06"/>
    <w:rsid w:val="00483CB7"/>
    <w:rsid w:val="004841D1"/>
    <w:rsid w:val="004844DB"/>
    <w:rsid w:val="004849A0"/>
    <w:rsid w:val="004853A8"/>
    <w:rsid w:val="0048562A"/>
    <w:rsid w:val="00485FF0"/>
    <w:rsid w:val="004862AC"/>
    <w:rsid w:val="00486380"/>
    <w:rsid w:val="00486E17"/>
    <w:rsid w:val="004873D0"/>
    <w:rsid w:val="00487683"/>
    <w:rsid w:val="004904B5"/>
    <w:rsid w:val="004904FD"/>
    <w:rsid w:val="00490A2B"/>
    <w:rsid w:val="00490C8B"/>
    <w:rsid w:val="00490D3E"/>
    <w:rsid w:val="00490E16"/>
    <w:rsid w:val="00490EEE"/>
    <w:rsid w:val="00491F8F"/>
    <w:rsid w:val="00492BCB"/>
    <w:rsid w:val="00493217"/>
    <w:rsid w:val="004936C3"/>
    <w:rsid w:val="004936F4"/>
    <w:rsid w:val="004943E4"/>
    <w:rsid w:val="004947BE"/>
    <w:rsid w:val="00494E4E"/>
    <w:rsid w:val="0049521C"/>
    <w:rsid w:val="00495495"/>
    <w:rsid w:val="00496169"/>
    <w:rsid w:val="004961F5"/>
    <w:rsid w:val="00496935"/>
    <w:rsid w:val="004970EC"/>
    <w:rsid w:val="00497726"/>
    <w:rsid w:val="00497985"/>
    <w:rsid w:val="00497DC8"/>
    <w:rsid w:val="004A0040"/>
    <w:rsid w:val="004A0662"/>
    <w:rsid w:val="004A0CAB"/>
    <w:rsid w:val="004A106A"/>
    <w:rsid w:val="004A10E9"/>
    <w:rsid w:val="004A179C"/>
    <w:rsid w:val="004A1A75"/>
    <w:rsid w:val="004A2ECB"/>
    <w:rsid w:val="004A469A"/>
    <w:rsid w:val="004A4CA2"/>
    <w:rsid w:val="004A6946"/>
    <w:rsid w:val="004A6C15"/>
    <w:rsid w:val="004A7A0C"/>
    <w:rsid w:val="004A7BE6"/>
    <w:rsid w:val="004B01C2"/>
    <w:rsid w:val="004B0886"/>
    <w:rsid w:val="004B08F1"/>
    <w:rsid w:val="004B0939"/>
    <w:rsid w:val="004B0AC6"/>
    <w:rsid w:val="004B0F89"/>
    <w:rsid w:val="004B1164"/>
    <w:rsid w:val="004B1AD8"/>
    <w:rsid w:val="004B20FA"/>
    <w:rsid w:val="004B2A85"/>
    <w:rsid w:val="004B2CC4"/>
    <w:rsid w:val="004B2FDB"/>
    <w:rsid w:val="004B34A8"/>
    <w:rsid w:val="004B3640"/>
    <w:rsid w:val="004B4A8C"/>
    <w:rsid w:val="004B4B06"/>
    <w:rsid w:val="004B4CC4"/>
    <w:rsid w:val="004B5334"/>
    <w:rsid w:val="004B5B03"/>
    <w:rsid w:val="004B5EE8"/>
    <w:rsid w:val="004B6215"/>
    <w:rsid w:val="004B71B9"/>
    <w:rsid w:val="004B77FA"/>
    <w:rsid w:val="004B7F76"/>
    <w:rsid w:val="004C0799"/>
    <w:rsid w:val="004C1076"/>
    <w:rsid w:val="004C1775"/>
    <w:rsid w:val="004C178B"/>
    <w:rsid w:val="004C2124"/>
    <w:rsid w:val="004C2223"/>
    <w:rsid w:val="004C245B"/>
    <w:rsid w:val="004C266A"/>
    <w:rsid w:val="004C3FF7"/>
    <w:rsid w:val="004C4231"/>
    <w:rsid w:val="004C4BE9"/>
    <w:rsid w:val="004C5DE9"/>
    <w:rsid w:val="004C5FAE"/>
    <w:rsid w:val="004C61D2"/>
    <w:rsid w:val="004C63A6"/>
    <w:rsid w:val="004C6528"/>
    <w:rsid w:val="004C68F7"/>
    <w:rsid w:val="004C72C3"/>
    <w:rsid w:val="004C7616"/>
    <w:rsid w:val="004C769B"/>
    <w:rsid w:val="004C77E2"/>
    <w:rsid w:val="004C7DCA"/>
    <w:rsid w:val="004C7E4D"/>
    <w:rsid w:val="004C7FA7"/>
    <w:rsid w:val="004D06C1"/>
    <w:rsid w:val="004D1308"/>
    <w:rsid w:val="004D13A7"/>
    <w:rsid w:val="004D17D3"/>
    <w:rsid w:val="004D24EB"/>
    <w:rsid w:val="004D2EF2"/>
    <w:rsid w:val="004D3180"/>
    <w:rsid w:val="004D422B"/>
    <w:rsid w:val="004D559A"/>
    <w:rsid w:val="004D58C3"/>
    <w:rsid w:val="004D5985"/>
    <w:rsid w:val="004D5D9B"/>
    <w:rsid w:val="004D5E6E"/>
    <w:rsid w:val="004D5ECA"/>
    <w:rsid w:val="004D73BB"/>
    <w:rsid w:val="004E02EE"/>
    <w:rsid w:val="004E062A"/>
    <w:rsid w:val="004E0D95"/>
    <w:rsid w:val="004E121B"/>
    <w:rsid w:val="004E1278"/>
    <w:rsid w:val="004E13DD"/>
    <w:rsid w:val="004E1652"/>
    <w:rsid w:val="004E1CBC"/>
    <w:rsid w:val="004E1EED"/>
    <w:rsid w:val="004E1F09"/>
    <w:rsid w:val="004E20D7"/>
    <w:rsid w:val="004E33F6"/>
    <w:rsid w:val="004E3742"/>
    <w:rsid w:val="004E396A"/>
    <w:rsid w:val="004E3B58"/>
    <w:rsid w:val="004E475D"/>
    <w:rsid w:val="004E47E4"/>
    <w:rsid w:val="004E4981"/>
    <w:rsid w:val="004E536B"/>
    <w:rsid w:val="004E539C"/>
    <w:rsid w:val="004E5549"/>
    <w:rsid w:val="004E5679"/>
    <w:rsid w:val="004E5A17"/>
    <w:rsid w:val="004E6124"/>
    <w:rsid w:val="004E6336"/>
    <w:rsid w:val="004E6552"/>
    <w:rsid w:val="004E6B35"/>
    <w:rsid w:val="004E7073"/>
    <w:rsid w:val="004E730C"/>
    <w:rsid w:val="004E7874"/>
    <w:rsid w:val="004E7FB9"/>
    <w:rsid w:val="004F05D1"/>
    <w:rsid w:val="004F15A7"/>
    <w:rsid w:val="004F196B"/>
    <w:rsid w:val="004F1B46"/>
    <w:rsid w:val="004F1BDE"/>
    <w:rsid w:val="004F1FDB"/>
    <w:rsid w:val="004F236A"/>
    <w:rsid w:val="004F2664"/>
    <w:rsid w:val="004F26C8"/>
    <w:rsid w:val="004F2A05"/>
    <w:rsid w:val="004F2A83"/>
    <w:rsid w:val="004F2CDC"/>
    <w:rsid w:val="004F2FD4"/>
    <w:rsid w:val="004F4038"/>
    <w:rsid w:val="004F4AD4"/>
    <w:rsid w:val="004F51B5"/>
    <w:rsid w:val="004F5987"/>
    <w:rsid w:val="004F59C7"/>
    <w:rsid w:val="004F6B7C"/>
    <w:rsid w:val="004F6F40"/>
    <w:rsid w:val="004F7003"/>
    <w:rsid w:val="004F731B"/>
    <w:rsid w:val="004F7A0B"/>
    <w:rsid w:val="004F7BB2"/>
    <w:rsid w:val="005009D8"/>
    <w:rsid w:val="00501121"/>
    <w:rsid w:val="00501894"/>
    <w:rsid w:val="00502508"/>
    <w:rsid w:val="00502A09"/>
    <w:rsid w:val="00502BF6"/>
    <w:rsid w:val="005040E2"/>
    <w:rsid w:val="005043CA"/>
    <w:rsid w:val="00504731"/>
    <w:rsid w:val="005047C6"/>
    <w:rsid w:val="00504863"/>
    <w:rsid w:val="00504C72"/>
    <w:rsid w:val="00504F09"/>
    <w:rsid w:val="00506536"/>
    <w:rsid w:val="00506860"/>
    <w:rsid w:val="005070AC"/>
    <w:rsid w:val="00507737"/>
    <w:rsid w:val="0050784D"/>
    <w:rsid w:val="00507CEC"/>
    <w:rsid w:val="00510BB6"/>
    <w:rsid w:val="00510ECD"/>
    <w:rsid w:val="00510F55"/>
    <w:rsid w:val="00511038"/>
    <w:rsid w:val="00511272"/>
    <w:rsid w:val="00511A98"/>
    <w:rsid w:val="00511CFA"/>
    <w:rsid w:val="00514458"/>
    <w:rsid w:val="00515A5B"/>
    <w:rsid w:val="00515B7D"/>
    <w:rsid w:val="00516F78"/>
    <w:rsid w:val="00516FB1"/>
    <w:rsid w:val="0051714C"/>
    <w:rsid w:val="00517C51"/>
    <w:rsid w:val="00521A40"/>
    <w:rsid w:val="0052249D"/>
    <w:rsid w:val="0052367D"/>
    <w:rsid w:val="0052372E"/>
    <w:rsid w:val="005239C9"/>
    <w:rsid w:val="00523C86"/>
    <w:rsid w:val="005241FD"/>
    <w:rsid w:val="00524CE5"/>
    <w:rsid w:val="00524EC1"/>
    <w:rsid w:val="00524FC7"/>
    <w:rsid w:val="005257FF"/>
    <w:rsid w:val="00525A43"/>
    <w:rsid w:val="00525C33"/>
    <w:rsid w:val="00525CD7"/>
    <w:rsid w:val="005265B0"/>
    <w:rsid w:val="005266D2"/>
    <w:rsid w:val="00526A92"/>
    <w:rsid w:val="0052712D"/>
    <w:rsid w:val="00527D65"/>
    <w:rsid w:val="005309B6"/>
    <w:rsid w:val="00530DD6"/>
    <w:rsid w:val="00530E39"/>
    <w:rsid w:val="0053158B"/>
    <w:rsid w:val="00531A63"/>
    <w:rsid w:val="005324E7"/>
    <w:rsid w:val="0053256B"/>
    <w:rsid w:val="005325A7"/>
    <w:rsid w:val="005327BD"/>
    <w:rsid w:val="00532F0E"/>
    <w:rsid w:val="00533517"/>
    <w:rsid w:val="005348DD"/>
    <w:rsid w:val="00534D4D"/>
    <w:rsid w:val="005352EE"/>
    <w:rsid w:val="00535308"/>
    <w:rsid w:val="0053639D"/>
    <w:rsid w:val="0053642E"/>
    <w:rsid w:val="0053647A"/>
    <w:rsid w:val="005365D5"/>
    <w:rsid w:val="005400FA"/>
    <w:rsid w:val="005405D8"/>
    <w:rsid w:val="0054071B"/>
    <w:rsid w:val="00540A77"/>
    <w:rsid w:val="00540C68"/>
    <w:rsid w:val="00541AD1"/>
    <w:rsid w:val="00541F09"/>
    <w:rsid w:val="0054212D"/>
    <w:rsid w:val="00542EF2"/>
    <w:rsid w:val="00543058"/>
    <w:rsid w:val="00543070"/>
    <w:rsid w:val="00544312"/>
    <w:rsid w:val="00544B75"/>
    <w:rsid w:val="005468C4"/>
    <w:rsid w:val="005469B1"/>
    <w:rsid w:val="00546B7A"/>
    <w:rsid w:val="005474AD"/>
    <w:rsid w:val="005475B6"/>
    <w:rsid w:val="005475DF"/>
    <w:rsid w:val="00547BD4"/>
    <w:rsid w:val="00550951"/>
    <w:rsid w:val="005511D5"/>
    <w:rsid w:val="00552420"/>
    <w:rsid w:val="0055271C"/>
    <w:rsid w:val="00552972"/>
    <w:rsid w:val="00552E79"/>
    <w:rsid w:val="00553172"/>
    <w:rsid w:val="00553825"/>
    <w:rsid w:val="0055445D"/>
    <w:rsid w:val="005546D6"/>
    <w:rsid w:val="00555224"/>
    <w:rsid w:val="00555318"/>
    <w:rsid w:val="00555B21"/>
    <w:rsid w:val="00555F43"/>
    <w:rsid w:val="0055654B"/>
    <w:rsid w:val="0055697D"/>
    <w:rsid w:val="00556F92"/>
    <w:rsid w:val="00557186"/>
    <w:rsid w:val="0055731A"/>
    <w:rsid w:val="00560640"/>
    <w:rsid w:val="0056113C"/>
    <w:rsid w:val="00561459"/>
    <w:rsid w:val="00561555"/>
    <w:rsid w:val="00561DB0"/>
    <w:rsid w:val="00561E3D"/>
    <w:rsid w:val="00561F73"/>
    <w:rsid w:val="005635F1"/>
    <w:rsid w:val="0056381F"/>
    <w:rsid w:val="0056439F"/>
    <w:rsid w:val="005645EA"/>
    <w:rsid w:val="0056461B"/>
    <w:rsid w:val="00564A0B"/>
    <w:rsid w:val="00564B9C"/>
    <w:rsid w:val="00565087"/>
    <w:rsid w:val="00565BE5"/>
    <w:rsid w:val="00565FCE"/>
    <w:rsid w:val="0056632D"/>
    <w:rsid w:val="00566572"/>
    <w:rsid w:val="005667F9"/>
    <w:rsid w:val="00567793"/>
    <w:rsid w:val="005679F2"/>
    <w:rsid w:val="00567E13"/>
    <w:rsid w:val="0057043C"/>
    <w:rsid w:val="005706D2"/>
    <w:rsid w:val="00570E25"/>
    <w:rsid w:val="005713F7"/>
    <w:rsid w:val="0057144E"/>
    <w:rsid w:val="00571BA3"/>
    <w:rsid w:val="005721EF"/>
    <w:rsid w:val="005730E2"/>
    <w:rsid w:val="00573BF4"/>
    <w:rsid w:val="00573E85"/>
    <w:rsid w:val="00574996"/>
    <w:rsid w:val="00575013"/>
    <w:rsid w:val="00575E76"/>
    <w:rsid w:val="00576050"/>
    <w:rsid w:val="00576BEB"/>
    <w:rsid w:val="00577B05"/>
    <w:rsid w:val="0058087E"/>
    <w:rsid w:val="00580CD1"/>
    <w:rsid w:val="00581EBE"/>
    <w:rsid w:val="00581F03"/>
    <w:rsid w:val="00582BC2"/>
    <w:rsid w:val="00582FBF"/>
    <w:rsid w:val="00583889"/>
    <w:rsid w:val="00583C89"/>
    <w:rsid w:val="00583ED4"/>
    <w:rsid w:val="00583FE2"/>
    <w:rsid w:val="00584A88"/>
    <w:rsid w:val="00584E44"/>
    <w:rsid w:val="00584EF4"/>
    <w:rsid w:val="005869F3"/>
    <w:rsid w:val="00586A74"/>
    <w:rsid w:val="00587278"/>
    <w:rsid w:val="00587710"/>
    <w:rsid w:val="00587BA5"/>
    <w:rsid w:val="00587DA0"/>
    <w:rsid w:val="00587DE5"/>
    <w:rsid w:val="005902C1"/>
    <w:rsid w:val="005904AD"/>
    <w:rsid w:val="00590A90"/>
    <w:rsid w:val="00590E0D"/>
    <w:rsid w:val="00590E11"/>
    <w:rsid w:val="005914E8"/>
    <w:rsid w:val="005917B4"/>
    <w:rsid w:val="005919ED"/>
    <w:rsid w:val="00592A31"/>
    <w:rsid w:val="005937BA"/>
    <w:rsid w:val="00593C0B"/>
    <w:rsid w:val="00593E17"/>
    <w:rsid w:val="00594203"/>
    <w:rsid w:val="0059536E"/>
    <w:rsid w:val="00595859"/>
    <w:rsid w:val="0059637C"/>
    <w:rsid w:val="005971C4"/>
    <w:rsid w:val="005974AA"/>
    <w:rsid w:val="0059775F"/>
    <w:rsid w:val="005979DD"/>
    <w:rsid w:val="005A0823"/>
    <w:rsid w:val="005A1206"/>
    <w:rsid w:val="005A17CC"/>
    <w:rsid w:val="005A21F6"/>
    <w:rsid w:val="005A228F"/>
    <w:rsid w:val="005A2CA3"/>
    <w:rsid w:val="005A3717"/>
    <w:rsid w:val="005A3FDD"/>
    <w:rsid w:val="005A4ED7"/>
    <w:rsid w:val="005A54FE"/>
    <w:rsid w:val="005A6514"/>
    <w:rsid w:val="005A6C88"/>
    <w:rsid w:val="005A6D58"/>
    <w:rsid w:val="005B0236"/>
    <w:rsid w:val="005B0398"/>
    <w:rsid w:val="005B0A57"/>
    <w:rsid w:val="005B15AE"/>
    <w:rsid w:val="005B1818"/>
    <w:rsid w:val="005B2391"/>
    <w:rsid w:val="005B2F9C"/>
    <w:rsid w:val="005B3169"/>
    <w:rsid w:val="005B368F"/>
    <w:rsid w:val="005B3E22"/>
    <w:rsid w:val="005B40F0"/>
    <w:rsid w:val="005B46A4"/>
    <w:rsid w:val="005B4752"/>
    <w:rsid w:val="005B4CDF"/>
    <w:rsid w:val="005B536C"/>
    <w:rsid w:val="005B58B8"/>
    <w:rsid w:val="005B64DD"/>
    <w:rsid w:val="005B683B"/>
    <w:rsid w:val="005B7BDD"/>
    <w:rsid w:val="005C00FD"/>
    <w:rsid w:val="005C05E3"/>
    <w:rsid w:val="005C0CD9"/>
    <w:rsid w:val="005C10CB"/>
    <w:rsid w:val="005C1750"/>
    <w:rsid w:val="005C1D6B"/>
    <w:rsid w:val="005C257A"/>
    <w:rsid w:val="005C2BD7"/>
    <w:rsid w:val="005C2D50"/>
    <w:rsid w:val="005C2DA6"/>
    <w:rsid w:val="005C34AF"/>
    <w:rsid w:val="005C3E29"/>
    <w:rsid w:val="005C4229"/>
    <w:rsid w:val="005C4DB1"/>
    <w:rsid w:val="005C58B7"/>
    <w:rsid w:val="005C6207"/>
    <w:rsid w:val="005C6293"/>
    <w:rsid w:val="005C6824"/>
    <w:rsid w:val="005C6DBD"/>
    <w:rsid w:val="005C7195"/>
    <w:rsid w:val="005C728A"/>
    <w:rsid w:val="005D020E"/>
    <w:rsid w:val="005D0959"/>
    <w:rsid w:val="005D1690"/>
    <w:rsid w:val="005D2953"/>
    <w:rsid w:val="005D3071"/>
    <w:rsid w:val="005D338A"/>
    <w:rsid w:val="005D3E5C"/>
    <w:rsid w:val="005D3F27"/>
    <w:rsid w:val="005D443B"/>
    <w:rsid w:val="005D515E"/>
    <w:rsid w:val="005D519C"/>
    <w:rsid w:val="005D5385"/>
    <w:rsid w:val="005D5704"/>
    <w:rsid w:val="005D5DDE"/>
    <w:rsid w:val="005D6903"/>
    <w:rsid w:val="005D7B89"/>
    <w:rsid w:val="005D7ED2"/>
    <w:rsid w:val="005E08ED"/>
    <w:rsid w:val="005E1BF8"/>
    <w:rsid w:val="005E26D1"/>
    <w:rsid w:val="005E2C16"/>
    <w:rsid w:val="005E31A7"/>
    <w:rsid w:val="005E4496"/>
    <w:rsid w:val="005E56CA"/>
    <w:rsid w:val="005E56D3"/>
    <w:rsid w:val="005E63C8"/>
    <w:rsid w:val="005E6E8D"/>
    <w:rsid w:val="005E7217"/>
    <w:rsid w:val="005E7390"/>
    <w:rsid w:val="005E76F5"/>
    <w:rsid w:val="005E7F62"/>
    <w:rsid w:val="005F0183"/>
    <w:rsid w:val="005F0C54"/>
    <w:rsid w:val="005F161A"/>
    <w:rsid w:val="005F1B20"/>
    <w:rsid w:val="005F1F6B"/>
    <w:rsid w:val="005F2830"/>
    <w:rsid w:val="005F2C7E"/>
    <w:rsid w:val="005F2F79"/>
    <w:rsid w:val="005F39C0"/>
    <w:rsid w:val="005F3A67"/>
    <w:rsid w:val="005F444E"/>
    <w:rsid w:val="005F45AF"/>
    <w:rsid w:val="005F4AA6"/>
    <w:rsid w:val="005F4B7A"/>
    <w:rsid w:val="005F5393"/>
    <w:rsid w:val="005F60A8"/>
    <w:rsid w:val="005F6678"/>
    <w:rsid w:val="005F6688"/>
    <w:rsid w:val="005F75D6"/>
    <w:rsid w:val="00600A73"/>
    <w:rsid w:val="0060181F"/>
    <w:rsid w:val="0060235F"/>
    <w:rsid w:val="00602484"/>
    <w:rsid w:val="006029E7"/>
    <w:rsid w:val="00602FDE"/>
    <w:rsid w:val="00603464"/>
    <w:rsid w:val="006035DA"/>
    <w:rsid w:val="00603B82"/>
    <w:rsid w:val="00604DB6"/>
    <w:rsid w:val="00605137"/>
    <w:rsid w:val="006051A7"/>
    <w:rsid w:val="0060565C"/>
    <w:rsid w:val="0060588E"/>
    <w:rsid w:val="0060777E"/>
    <w:rsid w:val="00610AE5"/>
    <w:rsid w:val="00610ED7"/>
    <w:rsid w:val="00611A9A"/>
    <w:rsid w:val="00612547"/>
    <w:rsid w:val="00612F4D"/>
    <w:rsid w:val="00613A42"/>
    <w:rsid w:val="006140C9"/>
    <w:rsid w:val="006146BB"/>
    <w:rsid w:val="0061558D"/>
    <w:rsid w:val="0061561A"/>
    <w:rsid w:val="00616C1B"/>
    <w:rsid w:val="00617DBA"/>
    <w:rsid w:val="0062086F"/>
    <w:rsid w:val="00620BDF"/>
    <w:rsid w:val="00620F31"/>
    <w:rsid w:val="00621B95"/>
    <w:rsid w:val="00621C90"/>
    <w:rsid w:val="00622267"/>
    <w:rsid w:val="00622403"/>
    <w:rsid w:val="00623131"/>
    <w:rsid w:val="00623BAA"/>
    <w:rsid w:val="00624083"/>
    <w:rsid w:val="00624367"/>
    <w:rsid w:val="00624761"/>
    <w:rsid w:val="00624BBF"/>
    <w:rsid w:val="006252E3"/>
    <w:rsid w:val="00626748"/>
    <w:rsid w:val="00626B57"/>
    <w:rsid w:val="00627678"/>
    <w:rsid w:val="00627EF8"/>
    <w:rsid w:val="006301B5"/>
    <w:rsid w:val="0063106A"/>
    <w:rsid w:val="006317BA"/>
    <w:rsid w:val="00632C3E"/>
    <w:rsid w:val="0063361A"/>
    <w:rsid w:val="006339E8"/>
    <w:rsid w:val="00635610"/>
    <w:rsid w:val="006357A2"/>
    <w:rsid w:val="00635DF3"/>
    <w:rsid w:val="00636153"/>
    <w:rsid w:val="00636DC6"/>
    <w:rsid w:val="00636E67"/>
    <w:rsid w:val="00637189"/>
    <w:rsid w:val="0063737B"/>
    <w:rsid w:val="006378B5"/>
    <w:rsid w:val="00637BC1"/>
    <w:rsid w:val="00640791"/>
    <w:rsid w:val="00640814"/>
    <w:rsid w:val="0064101D"/>
    <w:rsid w:val="00641428"/>
    <w:rsid w:val="00641566"/>
    <w:rsid w:val="00642298"/>
    <w:rsid w:val="00642E30"/>
    <w:rsid w:val="006438A5"/>
    <w:rsid w:val="00644EE3"/>
    <w:rsid w:val="00646218"/>
    <w:rsid w:val="00646353"/>
    <w:rsid w:val="006464DF"/>
    <w:rsid w:val="00646B29"/>
    <w:rsid w:val="00647128"/>
    <w:rsid w:val="00647455"/>
    <w:rsid w:val="00647F0F"/>
    <w:rsid w:val="00647F54"/>
    <w:rsid w:val="0065022C"/>
    <w:rsid w:val="00650DD1"/>
    <w:rsid w:val="00650FCC"/>
    <w:rsid w:val="00651899"/>
    <w:rsid w:val="00651EFF"/>
    <w:rsid w:val="0065205A"/>
    <w:rsid w:val="006521D0"/>
    <w:rsid w:val="00652AAE"/>
    <w:rsid w:val="0065436F"/>
    <w:rsid w:val="006544E4"/>
    <w:rsid w:val="00655065"/>
    <w:rsid w:val="00655ACD"/>
    <w:rsid w:val="00655F72"/>
    <w:rsid w:val="00657884"/>
    <w:rsid w:val="00657933"/>
    <w:rsid w:val="00657DC4"/>
    <w:rsid w:val="00657E1E"/>
    <w:rsid w:val="006602D5"/>
    <w:rsid w:val="006607BC"/>
    <w:rsid w:val="00660A80"/>
    <w:rsid w:val="00660E30"/>
    <w:rsid w:val="006613C9"/>
    <w:rsid w:val="00662358"/>
    <w:rsid w:val="00662BF9"/>
    <w:rsid w:val="006632A0"/>
    <w:rsid w:val="006638D4"/>
    <w:rsid w:val="006638E1"/>
    <w:rsid w:val="00663C2C"/>
    <w:rsid w:val="00663CC6"/>
    <w:rsid w:val="006643E8"/>
    <w:rsid w:val="00664AC2"/>
    <w:rsid w:val="00666828"/>
    <w:rsid w:val="00666949"/>
    <w:rsid w:val="00666C32"/>
    <w:rsid w:val="00667264"/>
    <w:rsid w:val="006679CB"/>
    <w:rsid w:val="00667CBB"/>
    <w:rsid w:val="00667F17"/>
    <w:rsid w:val="00667F6B"/>
    <w:rsid w:val="0067004F"/>
    <w:rsid w:val="006706E7"/>
    <w:rsid w:val="006708F1"/>
    <w:rsid w:val="0067120F"/>
    <w:rsid w:val="00672322"/>
    <w:rsid w:val="00672509"/>
    <w:rsid w:val="00672AE3"/>
    <w:rsid w:val="00672C7B"/>
    <w:rsid w:val="00672D1A"/>
    <w:rsid w:val="006732DB"/>
    <w:rsid w:val="006753B0"/>
    <w:rsid w:val="006755DE"/>
    <w:rsid w:val="00675B16"/>
    <w:rsid w:val="00677215"/>
    <w:rsid w:val="00677A9C"/>
    <w:rsid w:val="006804B4"/>
    <w:rsid w:val="00680610"/>
    <w:rsid w:val="0068079B"/>
    <w:rsid w:val="006814F6"/>
    <w:rsid w:val="00681770"/>
    <w:rsid w:val="00682016"/>
    <w:rsid w:val="0068209F"/>
    <w:rsid w:val="00682205"/>
    <w:rsid w:val="006823BF"/>
    <w:rsid w:val="006824DF"/>
    <w:rsid w:val="00683525"/>
    <w:rsid w:val="00684CE7"/>
    <w:rsid w:val="00685FBA"/>
    <w:rsid w:val="006867E4"/>
    <w:rsid w:val="006868DE"/>
    <w:rsid w:val="006869B1"/>
    <w:rsid w:val="0068761C"/>
    <w:rsid w:val="00687CFB"/>
    <w:rsid w:val="00687E99"/>
    <w:rsid w:val="00690902"/>
    <w:rsid w:val="006924C6"/>
    <w:rsid w:val="00692625"/>
    <w:rsid w:val="006931C6"/>
    <w:rsid w:val="0069414F"/>
    <w:rsid w:val="006945B3"/>
    <w:rsid w:val="00694F56"/>
    <w:rsid w:val="00695130"/>
    <w:rsid w:val="006952B3"/>
    <w:rsid w:val="0069539C"/>
    <w:rsid w:val="006955F1"/>
    <w:rsid w:val="00696BE7"/>
    <w:rsid w:val="00697EAE"/>
    <w:rsid w:val="006A1E57"/>
    <w:rsid w:val="006A1F43"/>
    <w:rsid w:val="006A26A6"/>
    <w:rsid w:val="006A2AEA"/>
    <w:rsid w:val="006A307D"/>
    <w:rsid w:val="006A30CF"/>
    <w:rsid w:val="006A32F6"/>
    <w:rsid w:val="006A3772"/>
    <w:rsid w:val="006A443F"/>
    <w:rsid w:val="006A4649"/>
    <w:rsid w:val="006A4EC2"/>
    <w:rsid w:val="006A57EB"/>
    <w:rsid w:val="006A5A48"/>
    <w:rsid w:val="006A5C3A"/>
    <w:rsid w:val="006A5E0E"/>
    <w:rsid w:val="006A5EF1"/>
    <w:rsid w:val="006A63E1"/>
    <w:rsid w:val="006A6E8C"/>
    <w:rsid w:val="006A7EB8"/>
    <w:rsid w:val="006B1900"/>
    <w:rsid w:val="006B202D"/>
    <w:rsid w:val="006B2309"/>
    <w:rsid w:val="006B256E"/>
    <w:rsid w:val="006B2CCC"/>
    <w:rsid w:val="006B3206"/>
    <w:rsid w:val="006B364E"/>
    <w:rsid w:val="006B37A7"/>
    <w:rsid w:val="006B3994"/>
    <w:rsid w:val="006B3D8B"/>
    <w:rsid w:val="006B40B5"/>
    <w:rsid w:val="006B41BC"/>
    <w:rsid w:val="006B43B7"/>
    <w:rsid w:val="006B4C4C"/>
    <w:rsid w:val="006B4E2A"/>
    <w:rsid w:val="006B5064"/>
    <w:rsid w:val="006B51D8"/>
    <w:rsid w:val="006B5564"/>
    <w:rsid w:val="006B5A1D"/>
    <w:rsid w:val="006B5EF8"/>
    <w:rsid w:val="006B6836"/>
    <w:rsid w:val="006B6B1B"/>
    <w:rsid w:val="006B7CF1"/>
    <w:rsid w:val="006B7E87"/>
    <w:rsid w:val="006C0122"/>
    <w:rsid w:val="006C0182"/>
    <w:rsid w:val="006C037B"/>
    <w:rsid w:val="006C1283"/>
    <w:rsid w:val="006C1621"/>
    <w:rsid w:val="006C1786"/>
    <w:rsid w:val="006C24A8"/>
    <w:rsid w:val="006C2CBB"/>
    <w:rsid w:val="006C3170"/>
    <w:rsid w:val="006C3291"/>
    <w:rsid w:val="006C3663"/>
    <w:rsid w:val="006C37C2"/>
    <w:rsid w:val="006C3DE4"/>
    <w:rsid w:val="006C45C9"/>
    <w:rsid w:val="006C4A65"/>
    <w:rsid w:val="006C4A66"/>
    <w:rsid w:val="006C4EB7"/>
    <w:rsid w:val="006C50D9"/>
    <w:rsid w:val="006C58DB"/>
    <w:rsid w:val="006C5BEF"/>
    <w:rsid w:val="006C6E2B"/>
    <w:rsid w:val="006C6E7A"/>
    <w:rsid w:val="006C7729"/>
    <w:rsid w:val="006C78A7"/>
    <w:rsid w:val="006D00EF"/>
    <w:rsid w:val="006D0C74"/>
    <w:rsid w:val="006D0DA0"/>
    <w:rsid w:val="006D0DD8"/>
    <w:rsid w:val="006D16D7"/>
    <w:rsid w:val="006D21B4"/>
    <w:rsid w:val="006D2880"/>
    <w:rsid w:val="006D2BB6"/>
    <w:rsid w:val="006D311F"/>
    <w:rsid w:val="006D3453"/>
    <w:rsid w:val="006D34D9"/>
    <w:rsid w:val="006D3D09"/>
    <w:rsid w:val="006D48C7"/>
    <w:rsid w:val="006D4AC1"/>
    <w:rsid w:val="006D4B19"/>
    <w:rsid w:val="006D4DCB"/>
    <w:rsid w:val="006D4EE8"/>
    <w:rsid w:val="006D56A1"/>
    <w:rsid w:val="006D5B20"/>
    <w:rsid w:val="006D5E63"/>
    <w:rsid w:val="006D6E8D"/>
    <w:rsid w:val="006D76C0"/>
    <w:rsid w:val="006E05B3"/>
    <w:rsid w:val="006E0788"/>
    <w:rsid w:val="006E22C8"/>
    <w:rsid w:val="006E2DC8"/>
    <w:rsid w:val="006E340E"/>
    <w:rsid w:val="006E3587"/>
    <w:rsid w:val="006E55D4"/>
    <w:rsid w:val="006E5BF1"/>
    <w:rsid w:val="006E6649"/>
    <w:rsid w:val="006E6BCB"/>
    <w:rsid w:val="006E77E9"/>
    <w:rsid w:val="006E7A82"/>
    <w:rsid w:val="006F0139"/>
    <w:rsid w:val="006F04D7"/>
    <w:rsid w:val="006F0FB0"/>
    <w:rsid w:val="006F139A"/>
    <w:rsid w:val="006F27CA"/>
    <w:rsid w:val="006F3184"/>
    <w:rsid w:val="006F339B"/>
    <w:rsid w:val="006F4601"/>
    <w:rsid w:val="006F56F6"/>
    <w:rsid w:val="006F64C7"/>
    <w:rsid w:val="006F6ACC"/>
    <w:rsid w:val="006F6C58"/>
    <w:rsid w:val="006F6F73"/>
    <w:rsid w:val="006F762A"/>
    <w:rsid w:val="006F7BF2"/>
    <w:rsid w:val="00700C64"/>
    <w:rsid w:val="007011BE"/>
    <w:rsid w:val="007018FA"/>
    <w:rsid w:val="00701F20"/>
    <w:rsid w:val="0070240F"/>
    <w:rsid w:val="00702F83"/>
    <w:rsid w:val="007031FE"/>
    <w:rsid w:val="00703B7A"/>
    <w:rsid w:val="00704009"/>
    <w:rsid w:val="00704C68"/>
    <w:rsid w:val="00706009"/>
    <w:rsid w:val="00706452"/>
    <w:rsid w:val="00706840"/>
    <w:rsid w:val="00706FC1"/>
    <w:rsid w:val="007070A7"/>
    <w:rsid w:val="007070CC"/>
    <w:rsid w:val="0071012D"/>
    <w:rsid w:val="007103DB"/>
    <w:rsid w:val="007113D6"/>
    <w:rsid w:val="0071269F"/>
    <w:rsid w:val="00712977"/>
    <w:rsid w:val="00712D43"/>
    <w:rsid w:val="007130A2"/>
    <w:rsid w:val="007137A4"/>
    <w:rsid w:val="00713B92"/>
    <w:rsid w:val="007149A0"/>
    <w:rsid w:val="00715C11"/>
    <w:rsid w:val="00715C64"/>
    <w:rsid w:val="00716290"/>
    <w:rsid w:val="00716528"/>
    <w:rsid w:val="007167BB"/>
    <w:rsid w:val="007169DF"/>
    <w:rsid w:val="007172E8"/>
    <w:rsid w:val="007173F0"/>
    <w:rsid w:val="007179CF"/>
    <w:rsid w:val="007200E7"/>
    <w:rsid w:val="00720D24"/>
    <w:rsid w:val="00720DC9"/>
    <w:rsid w:val="0072184F"/>
    <w:rsid w:val="00721855"/>
    <w:rsid w:val="007229C5"/>
    <w:rsid w:val="00722A90"/>
    <w:rsid w:val="007239AB"/>
    <w:rsid w:val="007249AA"/>
    <w:rsid w:val="00724EFE"/>
    <w:rsid w:val="0072503D"/>
    <w:rsid w:val="00725226"/>
    <w:rsid w:val="0072607D"/>
    <w:rsid w:val="00726203"/>
    <w:rsid w:val="007277AB"/>
    <w:rsid w:val="007306F9"/>
    <w:rsid w:val="007308B0"/>
    <w:rsid w:val="00731195"/>
    <w:rsid w:val="00731EBA"/>
    <w:rsid w:val="0073340E"/>
    <w:rsid w:val="00733A89"/>
    <w:rsid w:val="00733D53"/>
    <w:rsid w:val="007340A7"/>
    <w:rsid w:val="007344FD"/>
    <w:rsid w:val="00734FBD"/>
    <w:rsid w:val="007360BB"/>
    <w:rsid w:val="0073612A"/>
    <w:rsid w:val="0073645A"/>
    <w:rsid w:val="00736D34"/>
    <w:rsid w:val="007371E0"/>
    <w:rsid w:val="0073724D"/>
    <w:rsid w:val="007378E6"/>
    <w:rsid w:val="00740CEE"/>
    <w:rsid w:val="00741E99"/>
    <w:rsid w:val="00742485"/>
    <w:rsid w:val="007427A7"/>
    <w:rsid w:val="00743A11"/>
    <w:rsid w:val="00744321"/>
    <w:rsid w:val="00744478"/>
    <w:rsid w:val="00745589"/>
    <w:rsid w:val="00745AB5"/>
    <w:rsid w:val="00746335"/>
    <w:rsid w:val="0074671B"/>
    <w:rsid w:val="00746AAC"/>
    <w:rsid w:val="0074706F"/>
    <w:rsid w:val="007506B2"/>
    <w:rsid w:val="00750F8F"/>
    <w:rsid w:val="00751219"/>
    <w:rsid w:val="0075324C"/>
    <w:rsid w:val="0075395A"/>
    <w:rsid w:val="00753B4F"/>
    <w:rsid w:val="0075405D"/>
    <w:rsid w:val="00754312"/>
    <w:rsid w:val="007546C5"/>
    <w:rsid w:val="00754707"/>
    <w:rsid w:val="00754FD1"/>
    <w:rsid w:val="00755069"/>
    <w:rsid w:val="00755A19"/>
    <w:rsid w:val="00755FBD"/>
    <w:rsid w:val="00756894"/>
    <w:rsid w:val="00757B7B"/>
    <w:rsid w:val="00757C10"/>
    <w:rsid w:val="007614C7"/>
    <w:rsid w:val="007620A7"/>
    <w:rsid w:val="007625EC"/>
    <w:rsid w:val="0076260E"/>
    <w:rsid w:val="00762FD8"/>
    <w:rsid w:val="00763064"/>
    <w:rsid w:val="007633E4"/>
    <w:rsid w:val="00763425"/>
    <w:rsid w:val="007634E8"/>
    <w:rsid w:val="007635DE"/>
    <w:rsid w:val="007640D5"/>
    <w:rsid w:val="007649AD"/>
    <w:rsid w:val="007649D7"/>
    <w:rsid w:val="00764AF0"/>
    <w:rsid w:val="00764BE5"/>
    <w:rsid w:val="00764C4F"/>
    <w:rsid w:val="00766001"/>
    <w:rsid w:val="007671E7"/>
    <w:rsid w:val="007675B4"/>
    <w:rsid w:val="007676D8"/>
    <w:rsid w:val="00767EBB"/>
    <w:rsid w:val="0077121A"/>
    <w:rsid w:val="0077249C"/>
    <w:rsid w:val="007728DC"/>
    <w:rsid w:val="007748A1"/>
    <w:rsid w:val="00775AD3"/>
    <w:rsid w:val="00776EEE"/>
    <w:rsid w:val="00777022"/>
    <w:rsid w:val="007770CD"/>
    <w:rsid w:val="007771FA"/>
    <w:rsid w:val="00777F26"/>
    <w:rsid w:val="00780432"/>
    <w:rsid w:val="00780481"/>
    <w:rsid w:val="00780C55"/>
    <w:rsid w:val="0078182F"/>
    <w:rsid w:val="007824E3"/>
    <w:rsid w:val="0078262E"/>
    <w:rsid w:val="00783938"/>
    <w:rsid w:val="00784497"/>
    <w:rsid w:val="00784669"/>
    <w:rsid w:val="00784821"/>
    <w:rsid w:val="007859EA"/>
    <w:rsid w:val="00785AEE"/>
    <w:rsid w:val="00785B0C"/>
    <w:rsid w:val="00785CD6"/>
    <w:rsid w:val="00785D55"/>
    <w:rsid w:val="00786F43"/>
    <w:rsid w:val="00790433"/>
    <w:rsid w:val="00790696"/>
    <w:rsid w:val="007907F6"/>
    <w:rsid w:val="007910E1"/>
    <w:rsid w:val="00791978"/>
    <w:rsid w:val="0079227E"/>
    <w:rsid w:val="007933FA"/>
    <w:rsid w:val="00793861"/>
    <w:rsid w:val="00794A1E"/>
    <w:rsid w:val="00794DCC"/>
    <w:rsid w:val="007957A3"/>
    <w:rsid w:val="00795DC5"/>
    <w:rsid w:val="007969D1"/>
    <w:rsid w:val="00796B78"/>
    <w:rsid w:val="00796C42"/>
    <w:rsid w:val="00796E02"/>
    <w:rsid w:val="00797326"/>
    <w:rsid w:val="007973CB"/>
    <w:rsid w:val="00797DF1"/>
    <w:rsid w:val="00797E99"/>
    <w:rsid w:val="007A03F6"/>
    <w:rsid w:val="007A0CB5"/>
    <w:rsid w:val="007A0F40"/>
    <w:rsid w:val="007A0F93"/>
    <w:rsid w:val="007A1279"/>
    <w:rsid w:val="007A1AB7"/>
    <w:rsid w:val="007A22CE"/>
    <w:rsid w:val="007A261A"/>
    <w:rsid w:val="007A3045"/>
    <w:rsid w:val="007A30D5"/>
    <w:rsid w:val="007A3571"/>
    <w:rsid w:val="007A3BAB"/>
    <w:rsid w:val="007A4464"/>
    <w:rsid w:val="007A44EA"/>
    <w:rsid w:val="007A458B"/>
    <w:rsid w:val="007A46BB"/>
    <w:rsid w:val="007A4E7D"/>
    <w:rsid w:val="007A6793"/>
    <w:rsid w:val="007A6888"/>
    <w:rsid w:val="007A6A9C"/>
    <w:rsid w:val="007A6B08"/>
    <w:rsid w:val="007A76CE"/>
    <w:rsid w:val="007A7E36"/>
    <w:rsid w:val="007B01FB"/>
    <w:rsid w:val="007B02FC"/>
    <w:rsid w:val="007B0402"/>
    <w:rsid w:val="007B0A3F"/>
    <w:rsid w:val="007B0F5B"/>
    <w:rsid w:val="007B1099"/>
    <w:rsid w:val="007B127E"/>
    <w:rsid w:val="007B1F09"/>
    <w:rsid w:val="007B2572"/>
    <w:rsid w:val="007B2A8D"/>
    <w:rsid w:val="007B2CF6"/>
    <w:rsid w:val="007B2D1E"/>
    <w:rsid w:val="007B2E7E"/>
    <w:rsid w:val="007B3069"/>
    <w:rsid w:val="007B323D"/>
    <w:rsid w:val="007B38A7"/>
    <w:rsid w:val="007B3D2B"/>
    <w:rsid w:val="007B4DCF"/>
    <w:rsid w:val="007B50AF"/>
    <w:rsid w:val="007B592D"/>
    <w:rsid w:val="007B5AA3"/>
    <w:rsid w:val="007B74AA"/>
    <w:rsid w:val="007B7543"/>
    <w:rsid w:val="007B7BF5"/>
    <w:rsid w:val="007B7CA4"/>
    <w:rsid w:val="007C01FB"/>
    <w:rsid w:val="007C0401"/>
    <w:rsid w:val="007C0520"/>
    <w:rsid w:val="007C0535"/>
    <w:rsid w:val="007C1150"/>
    <w:rsid w:val="007C304C"/>
    <w:rsid w:val="007C3E56"/>
    <w:rsid w:val="007C409A"/>
    <w:rsid w:val="007C4502"/>
    <w:rsid w:val="007C4D1D"/>
    <w:rsid w:val="007C58C1"/>
    <w:rsid w:val="007C60EA"/>
    <w:rsid w:val="007C65A7"/>
    <w:rsid w:val="007C728E"/>
    <w:rsid w:val="007C741D"/>
    <w:rsid w:val="007C7870"/>
    <w:rsid w:val="007C7A83"/>
    <w:rsid w:val="007C7BE2"/>
    <w:rsid w:val="007D0018"/>
    <w:rsid w:val="007D0250"/>
    <w:rsid w:val="007D09BB"/>
    <w:rsid w:val="007D0D45"/>
    <w:rsid w:val="007D1133"/>
    <w:rsid w:val="007D113E"/>
    <w:rsid w:val="007D18F3"/>
    <w:rsid w:val="007D1EF2"/>
    <w:rsid w:val="007D22A9"/>
    <w:rsid w:val="007D2D54"/>
    <w:rsid w:val="007D2F8F"/>
    <w:rsid w:val="007D33EB"/>
    <w:rsid w:val="007D35B0"/>
    <w:rsid w:val="007D387B"/>
    <w:rsid w:val="007D3882"/>
    <w:rsid w:val="007D4BA2"/>
    <w:rsid w:val="007D4C30"/>
    <w:rsid w:val="007D4D51"/>
    <w:rsid w:val="007D53F2"/>
    <w:rsid w:val="007D637A"/>
    <w:rsid w:val="007D65BD"/>
    <w:rsid w:val="007E045A"/>
    <w:rsid w:val="007E05C7"/>
    <w:rsid w:val="007E0812"/>
    <w:rsid w:val="007E132E"/>
    <w:rsid w:val="007E1382"/>
    <w:rsid w:val="007E2AD8"/>
    <w:rsid w:val="007E2F33"/>
    <w:rsid w:val="007E3139"/>
    <w:rsid w:val="007E415C"/>
    <w:rsid w:val="007E49ED"/>
    <w:rsid w:val="007E4F05"/>
    <w:rsid w:val="007E554F"/>
    <w:rsid w:val="007E57CD"/>
    <w:rsid w:val="007E59DA"/>
    <w:rsid w:val="007E5DF1"/>
    <w:rsid w:val="007E632F"/>
    <w:rsid w:val="007E7BFC"/>
    <w:rsid w:val="007E7C6B"/>
    <w:rsid w:val="007F017E"/>
    <w:rsid w:val="007F02D7"/>
    <w:rsid w:val="007F0E6F"/>
    <w:rsid w:val="007F1127"/>
    <w:rsid w:val="007F13A5"/>
    <w:rsid w:val="007F1A68"/>
    <w:rsid w:val="007F1D4C"/>
    <w:rsid w:val="007F29A9"/>
    <w:rsid w:val="007F2E1D"/>
    <w:rsid w:val="007F35FD"/>
    <w:rsid w:val="007F4126"/>
    <w:rsid w:val="007F43D3"/>
    <w:rsid w:val="007F43E1"/>
    <w:rsid w:val="007F4C51"/>
    <w:rsid w:val="007F55EE"/>
    <w:rsid w:val="007F5773"/>
    <w:rsid w:val="007F5C8E"/>
    <w:rsid w:val="007F68CA"/>
    <w:rsid w:val="007F7934"/>
    <w:rsid w:val="007F7BBE"/>
    <w:rsid w:val="00800301"/>
    <w:rsid w:val="00800325"/>
    <w:rsid w:val="00800413"/>
    <w:rsid w:val="008004F7"/>
    <w:rsid w:val="00800755"/>
    <w:rsid w:val="00800CC3"/>
    <w:rsid w:val="008014B9"/>
    <w:rsid w:val="008028DC"/>
    <w:rsid w:val="00803430"/>
    <w:rsid w:val="0080355E"/>
    <w:rsid w:val="008042A0"/>
    <w:rsid w:val="00804316"/>
    <w:rsid w:val="008043AF"/>
    <w:rsid w:val="008044AE"/>
    <w:rsid w:val="00804707"/>
    <w:rsid w:val="00805B9F"/>
    <w:rsid w:val="00806188"/>
    <w:rsid w:val="00806EF3"/>
    <w:rsid w:val="00806F24"/>
    <w:rsid w:val="00807206"/>
    <w:rsid w:val="00807C3D"/>
    <w:rsid w:val="00811143"/>
    <w:rsid w:val="00811199"/>
    <w:rsid w:val="00811C8A"/>
    <w:rsid w:val="00811EDC"/>
    <w:rsid w:val="00812E11"/>
    <w:rsid w:val="0081301C"/>
    <w:rsid w:val="008133F7"/>
    <w:rsid w:val="00813AB2"/>
    <w:rsid w:val="00814121"/>
    <w:rsid w:val="00814652"/>
    <w:rsid w:val="00814A00"/>
    <w:rsid w:val="00814EB6"/>
    <w:rsid w:val="00814FDD"/>
    <w:rsid w:val="0081533A"/>
    <w:rsid w:val="00815408"/>
    <w:rsid w:val="00815569"/>
    <w:rsid w:val="00820AA0"/>
    <w:rsid w:val="00821AAE"/>
    <w:rsid w:val="00821C91"/>
    <w:rsid w:val="00822FBA"/>
    <w:rsid w:val="00823367"/>
    <w:rsid w:val="00823602"/>
    <w:rsid w:val="008240E4"/>
    <w:rsid w:val="008242AA"/>
    <w:rsid w:val="0082565C"/>
    <w:rsid w:val="008257C9"/>
    <w:rsid w:val="008259B8"/>
    <w:rsid w:val="00825BF1"/>
    <w:rsid w:val="00825F0F"/>
    <w:rsid w:val="00826973"/>
    <w:rsid w:val="00826C26"/>
    <w:rsid w:val="00826FE6"/>
    <w:rsid w:val="008271B0"/>
    <w:rsid w:val="00827420"/>
    <w:rsid w:val="0082780F"/>
    <w:rsid w:val="00827A5C"/>
    <w:rsid w:val="00827B25"/>
    <w:rsid w:val="00827B8A"/>
    <w:rsid w:val="00827B9E"/>
    <w:rsid w:val="0083177A"/>
    <w:rsid w:val="00831B7A"/>
    <w:rsid w:val="008320CE"/>
    <w:rsid w:val="00832611"/>
    <w:rsid w:val="008326DD"/>
    <w:rsid w:val="00832A13"/>
    <w:rsid w:val="00833390"/>
    <w:rsid w:val="008346C3"/>
    <w:rsid w:val="00835559"/>
    <w:rsid w:val="008357B4"/>
    <w:rsid w:val="00835F99"/>
    <w:rsid w:val="008362F8"/>
    <w:rsid w:val="00837A14"/>
    <w:rsid w:val="00837E2A"/>
    <w:rsid w:val="00837E9E"/>
    <w:rsid w:val="008411A6"/>
    <w:rsid w:val="0084175C"/>
    <w:rsid w:val="00841A00"/>
    <w:rsid w:val="00841DB2"/>
    <w:rsid w:val="00842047"/>
    <w:rsid w:val="0084264E"/>
    <w:rsid w:val="00842E43"/>
    <w:rsid w:val="00842EF0"/>
    <w:rsid w:val="00842EFB"/>
    <w:rsid w:val="008432AB"/>
    <w:rsid w:val="00847074"/>
    <w:rsid w:val="0084742A"/>
    <w:rsid w:val="008476AD"/>
    <w:rsid w:val="008477D9"/>
    <w:rsid w:val="0085046F"/>
    <w:rsid w:val="00850B7E"/>
    <w:rsid w:val="008511AD"/>
    <w:rsid w:val="0085120F"/>
    <w:rsid w:val="008514D2"/>
    <w:rsid w:val="0085204D"/>
    <w:rsid w:val="008522CA"/>
    <w:rsid w:val="00853838"/>
    <w:rsid w:val="0085438B"/>
    <w:rsid w:val="008547A5"/>
    <w:rsid w:val="00855FF3"/>
    <w:rsid w:val="0085682D"/>
    <w:rsid w:val="00856894"/>
    <w:rsid w:val="00857829"/>
    <w:rsid w:val="00857C66"/>
    <w:rsid w:val="00860803"/>
    <w:rsid w:val="00860813"/>
    <w:rsid w:val="008609BB"/>
    <w:rsid w:val="0086177E"/>
    <w:rsid w:val="00861911"/>
    <w:rsid w:val="00861E9F"/>
    <w:rsid w:val="00861FE0"/>
    <w:rsid w:val="008626DC"/>
    <w:rsid w:val="00862A9C"/>
    <w:rsid w:val="00862EA6"/>
    <w:rsid w:val="008632CC"/>
    <w:rsid w:val="00864026"/>
    <w:rsid w:val="0086414A"/>
    <w:rsid w:val="00864B4A"/>
    <w:rsid w:val="00865CF7"/>
    <w:rsid w:val="00866AC6"/>
    <w:rsid w:val="0086751C"/>
    <w:rsid w:val="008679D1"/>
    <w:rsid w:val="00867AB5"/>
    <w:rsid w:val="008707D0"/>
    <w:rsid w:val="00870822"/>
    <w:rsid w:val="008711E8"/>
    <w:rsid w:val="0087122C"/>
    <w:rsid w:val="00871672"/>
    <w:rsid w:val="00871860"/>
    <w:rsid w:val="00871AF1"/>
    <w:rsid w:val="00871C4A"/>
    <w:rsid w:val="00871F0F"/>
    <w:rsid w:val="00872058"/>
    <w:rsid w:val="008725B2"/>
    <w:rsid w:val="008737F3"/>
    <w:rsid w:val="00873F35"/>
    <w:rsid w:val="0087552D"/>
    <w:rsid w:val="00875E3F"/>
    <w:rsid w:val="0087715A"/>
    <w:rsid w:val="008771C7"/>
    <w:rsid w:val="008775C2"/>
    <w:rsid w:val="00877A81"/>
    <w:rsid w:val="00877C4C"/>
    <w:rsid w:val="0088043D"/>
    <w:rsid w:val="00881739"/>
    <w:rsid w:val="00882635"/>
    <w:rsid w:val="008829FF"/>
    <w:rsid w:val="00882D3A"/>
    <w:rsid w:val="00882F0D"/>
    <w:rsid w:val="00883258"/>
    <w:rsid w:val="008836DB"/>
    <w:rsid w:val="00883AD7"/>
    <w:rsid w:val="00883C92"/>
    <w:rsid w:val="00883E57"/>
    <w:rsid w:val="008846BA"/>
    <w:rsid w:val="008849F0"/>
    <w:rsid w:val="0088513A"/>
    <w:rsid w:val="00885392"/>
    <w:rsid w:val="008857B7"/>
    <w:rsid w:val="0088580B"/>
    <w:rsid w:val="00885E46"/>
    <w:rsid w:val="00885FB1"/>
    <w:rsid w:val="008863B6"/>
    <w:rsid w:val="00886C42"/>
    <w:rsid w:val="00887275"/>
    <w:rsid w:val="00887B4C"/>
    <w:rsid w:val="008900BC"/>
    <w:rsid w:val="008902DF"/>
    <w:rsid w:val="00890D08"/>
    <w:rsid w:val="00891251"/>
    <w:rsid w:val="00891514"/>
    <w:rsid w:val="00891D74"/>
    <w:rsid w:val="00891FE3"/>
    <w:rsid w:val="008920F9"/>
    <w:rsid w:val="0089218D"/>
    <w:rsid w:val="00892D6F"/>
    <w:rsid w:val="00892F31"/>
    <w:rsid w:val="0089346D"/>
    <w:rsid w:val="008934A8"/>
    <w:rsid w:val="00893CDC"/>
    <w:rsid w:val="00893D8C"/>
    <w:rsid w:val="00894A91"/>
    <w:rsid w:val="00896689"/>
    <w:rsid w:val="00896C75"/>
    <w:rsid w:val="0089750D"/>
    <w:rsid w:val="008976A2"/>
    <w:rsid w:val="00897EA3"/>
    <w:rsid w:val="008A039D"/>
    <w:rsid w:val="008A094D"/>
    <w:rsid w:val="008A0A5A"/>
    <w:rsid w:val="008A1481"/>
    <w:rsid w:val="008A1F52"/>
    <w:rsid w:val="008A21C5"/>
    <w:rsid w:val="008A297B"/>
    <w:rsid w:val="008A2A07"/>
    <w:rsid w:val="008A31D8"/>
    <w:rsid w:val="008A3252"/>
    <w:rsid w:val="008A4074"/>
    <w:rsid w:val="008A50C7"/>
    <w:rsid w:val="008A5DC6"/>
    <w:rsid w:val="008A61A9"/>
    <w:rsid w:val="008A61D0"/>
    <w:rsid w:val="008A69AE"/>
    <w:rsid w:val="008A6B13"/>
    <w:rsid w:val="008A781E"/>
    <w:rsid w:val="008A7AFF"/>
    <w:rsid w:val="008B0272"/>
    <w:rsid w:val="008B03F1"/>
    <w:rsid w:val="008B0C2E"/>
    <w:rsid w:val="008B0C89"/>
    <w:rsid w:val="008B1D6E"/>
    <w:rsid w:val="008B20BB"/>
    <w:rsid w:val="008B2587"/>
    <w:rsid w:val="008B2CDE"/>
    <w:rsid w:val="008B2F19"/>
    <w:rsid w:val="008B3150"/>
    <w:rsid w:val="008B31F0"/>
    <w:rsid w:val="008B3613"/>
    <w:rsid w:val="008B489C"/>
    <w:rsid w:val="008B54E0"/>
    <w:rsid w:val="008B5A37"/>
    <w:rsid w:val="008B5C02"/>
    <w:rsid w:val="008B5C69"/>
    <w:rsid w:val="008B635F"/>
    <w:rsid w:val="008B6949"/>
    <w:rsid w:val="008B6CA4"/>
    <w:rsid w:val="008B7976"/>
    <w:rsid w:val="008B79EB"/>
    <w:rsid w:val="008B7A0A"/>
    <w:rsid w:val="008B7C4B"/>
    <w:rsid w:val="008C0276"/>
    <w:rsid w:val="008C0821"/>
    <w:rsid w:val="008C10ED"/>
    <w:rsid w:val="008C114B"/>
    <w:rsid w:val="008C1CE4"/>
    <w:rsid w:val="008C2306"/>
    <w:rsid w:val="008C2788"/>
    <w:rsid w:val="008C2820"/>
    <w:rsid w:val="008C316E"/>
    <w:rsid w:val="008C3A88"/>
    <w:rsid w:val="008C3D6F"/>
    <w:rsid w:val="008C3DE6"/>
    <w:rsid w:val="008C4334"/>
    <w:rsid w:val="008C461E"/>
    <w:rsid w:val="008C4950"/>
    <w:rsid w:val="008C49AC"/>
    <w:rsid w:val="008C4BE9"/>
    <w:rsid w:val="008C4D1C"/>
    <w:rsid w:val="008C566D"/>
    <w:rsid w:val="008C6496"/>
    <w:rsid w:val="008C7444"/>
    <w:rsid w:val="008C7A09"/>
    <w:rsid w:val="008C7FB5"/>
    <w:rsid w:val="008D0862"/>
    <w:rsid w:val="008D0D71"/>
    <w:rsid w:val="008D0F23"/>
    <w:rsid w:val="008D0FB8"/>
    <w:rsid w:val="008D2589"/>
    <w:rsid w:val="008D273E"/>
    <w:rsid w:val="008D5302"/>
    <w:rsid w:val="008D59DF"/>
    <w:rsid w:val="008D5AF6"/>
    <w:rsid w:val="008D5E48"/>
    <w:rsid w:val="008D6672"/>
    <w:rsid w:val="008D66B5"/>
    <w:rsid w:val="008D674E"/>
    <w:rsid w:val="008D6D9B"/>
    <w:rsid w:val="008D6FE0"/>
    <w:rsid w:val="008D75A8"/>
    <w:rsid w:val="008D7D76"/>
    <w:rsid w:val="008D7FA7"/>
    <w:rsid w:val="008E015A"/>
    <w:rsid w:val="008E096F"/>
    <w:rsid w:val="008E098F"/>
    <w:rsid w:val="008E0CF1"/>
    <w:rsid w:val="008E14EB"/>
    <w:rsid w:val="008E1EA4"/>
    <w:rsid w:val="008E204F"/>
    <w:rsid w:val="008E20BD"/>
    <w:rsid w:val="008E2DE9"/>
    <w:rsid w:val="008E3160"/>
    <w:rsid w:val="008E3AF6"/>
    <w:rsid w:val="008E3B15"/>
    <w:rsid w:val="008E3CCB"/>
    <w:rsid w:val="008E3D60"/>
    <w:rsid w:val="008E4039"/>
    <w:rsid w:val="008E4DB7"/>
    <w:rsid w:val="008E500F"/>
    <w:rsid w:val="008E51BC"/>
    <w:rsid w:val="008E56EC"/>
    <w:rsid w:val="008E5A1D"/>
    <w:rsid w:val="008E5EC6"/>
    <w:rsid w:val="008E5EF2"/>
    <w:rsid w:val="008E6395"/>
    <w:rsid w:val="008E6B45"/>
    <w:rsid w:val="008E7833"/>
    <w:rsid w:val="008F1CEA"/>
    <w:rsid w:val="008F2000"/>
    <w:rsid w:val="008F2330"/>
    <w:rsid w:val="008F2738"/>
    <w:rsid w:val="008F29F7"/>
    <w:rsid w:val="008F2B06"/>
    <w:rsid w:val="008F2F5A"/>
    <w:rsid w:val="008F3802"/>
    <w:rsid w:val="008F4232"/>
    <w:rsid w:val="008F4B53"/>
    <w:rsid w:val="008F4C12"/>
    <w:rsid w:val="008F583F"/>
    <w:rsid w:val="008F5C96"/>
    <w:rsid w:val="008F62C3"/>
    <w:rsid w:val="008F6956"/>
    <w:rsid w:val="008F69BB"/>
    <w:rsid w:val="008F70F2"/>
    <w:rsid w:val="008F72CA"/>
    <w:rsid w:val="008F74C3"/>
    <w:rsid w:val="0090063D"/>
    <w:rsid w:val="0090063E"/>
    <w:rsid w:val="009010C4"/>
    <w:rsid w:val="00902616"/>
    <w:rsid w:val="00902747"/>
    <w:rsid w:val="00902B7F"/>
    <w:rsid w:val="009038BA"/>
    <w:rsid w:val="00903C2E"/>
    <w:rsid w:val="00904328"/>
    <w:rsid w:val="0090493B"/>
    <w:rsid w:val="009054E7"/>
    <w:rsid w:val="00905763"/>
    <w:rsid w:val="009057E0"/>
    <w:rsid w:val="00905EFB"/>
    <w:rsid w:val="0090624D"/>
    <w:rsid w:val="00906B35"/>
    <w:rsid w:val="00907152"/>
    <w:rsid w:val="0090759A"/>
    <w:rsid w:val="009109DB"/>
    <w:rsid w:val="00911445"/>
    <w:rsid w:val="00911AEE"/>
    <w:rsid w:val="00911F42"/>
    <w:rsid w:val="009129BC"/>
    <w:rsid w:val="00912B84"/>
    <w:rsid w:val="00912D10"/>
    <w:rsid w:val="009135B8"/>
    <w:rsid w:val="009138F8"/>
    <w:rsid w:val="00914293"/>
    <w:rsid w:val="00914E24"/>
    <w:rsid w:val="00915603"/>
    <w:rsid w:val="009156B4"/>
    <w:rsid w:val="00915885"/>
    <w:rsid w:val="00915C83"/>
    <w:rsid w:val="00916AE1"/>
    <w:rsid w:val="00916FB1"/>
    <w:rsid w:val="00917124"/>
    <w:rsid w:val="009201E8"/>
    <w:rsid w:val="0092034F"/>
    <w:rsid w:val="00920400"/>
    <w:rsid w:val="00920870"/>
    <w:rsid w:val="009214BC"/>
    <w:rsid w:val="00921B8B"/>
    <w:rsid w:val="00921DFF"/>
    <w:rsid w:val="00921E84"/>
    <w:rsid w:val="009230B0"/>
    <w:rsid w:val="009237C7"/>
    <w:rsid w:val="00923A2B"/>
    <w:rsid w:val="00923D45"/>
    <w:rsid w:val="00923F3C"/>
    <w:rsid w:val="00926DD5"/>
    <w:rsid w:val="00927A54"/>
    <w:rsid w:val="00927C30"/>
    <w:rsid w:val="009309A1"/>
    <w:rsid w:val="0093232C"/>
    <w:rsid w:val="0093271E"/>
    <w:rsid w:val="00932D56"/>
    <w:rsid w:val="00933080"/>
    <w:rsid w:val="00933945"/>
    <w:rsid w:val="00933E45"/>
    <w:rsid w:val="009340B4"/>
    <w:rsid w:val="0093435F"/>
    <w:rsid w:val="009346BA"/>
    <w:rsid w:val="009349AA"/>
    <w:rsid w:val="00934C16"/>
    <w:rsid w:val="00935036"/>
    <w:rsid w:val="00935594"/>
    <w:rsid w:val="00935697"/>
    <w:rsid w:val="00935E07"/>
    <w:rsid w:val="009369B9"/>
    <w:rsid w:val="00937553"/>
    <w:rsid w:val="00937F31"/>
    <w:rsid w:val="0094022C"/>
    <w:rsid w:val="00941014"/>
    <w:rsid w:val="00941821"/>
    <w:rsid w:val="00941E9E"/>
    <w:rsid w:val="00941FE8"/>
    <w:rsid w:val="009427F9"/>
    <w:rsid w:val="00942BA4"/>
    <w:rsid w:val="00943645"/>
    <w:rsid w:val="0094391C"/>
    <w:rsid w:val="0094446A"/>
    <w:rsid w:val="009444B7"/>
    <w:rsid w:val="00944630"/>
    <w:rsid w:val="00946776"/>
    <w:rsid w:val="0094686B"/>
    <w:rsid w:val="009476EA"/>
    <w:rsid w:val="00947B44"/>
    <w:rsid w:val="00950B33"/>
    <w:rsid w:val="00950DED"/>
    <w:rsid w:val="00951778"/>
    <w:rsid w:val="00952359"/>
    <w:rsid w:val="009524D6"/>
    <w:rsid w:val="00952C29"/>
    <w:rsid w:val="00953355"/>
    <w:rsid w:val="009535ED"/>
    <w:rsid w:val="009537BE"/>
    <w:rsid w:val="0095384E"/>
    <w:rsid w:val="009538CB"/>
    <w:rsid w:val="00955021"/>
    <w:rsid w:val="00955100"/>
    <w:rsid w:val="0095566E"/>
    <w:rsid w:val="00955A43"/>
    <w:rsid w:val="00955A71"/>
    <w:rsid w:val="00955AF6"/>
    <w:rsid w:val="00955E9E"/>
    <w:rsid w:val="00956596"/>
    <w:rsid w:val="0095693C"/>
    <w:rsid w:val="00956C90"/>
    <w:rsid w:val="00956E85"/>
    <w:rsid w:val="00956F44"/>
    <w:rsid w:val="009573E8"/>
    <w:rsid w:val="00960241"/>
    <w:rsid w:val="00962261"/>
    <w:rsid w:val="00962D61"/>
    <w:rsid w:val="00962EB2"/>
    <w:rsid w:val="00962FCB"/>
    <w:rsid w:val="00962FD5"/>
    <w:rsid w:val="00963066"/>
    <w:rsid w:val="009630A0"/>
    <w:rsid w:val="0096319F"/>
    <w:rsid w:val="00963970"/>
    <w:rsid w:val="00963C1C"/>
    <w:rsid w:val="00964E3E"/>
    <w:rsid w:val="009656C5"/>
    <w:rsid w:val="00965B2A"/>
    <w:rsid w:val="00965F1F"/>
    <w:rsid w:val="0096681E"/>
    <w:rsid w:val="00966971"/>
    <w:rsid w:val="0096774C"/>
    <w:rsid w:val="0097002E"/>
    <w:rsid w:val="009705EE"/>
    <w:rsid w:val="009707FD"/>
    <w:rsid w:val="00971103"/>
    <w:rsid w:val="00971308"/>
    <w:rsid w:val="00971C1B"/>
    <w:rsid w:val="00972F9B"/>
    <w:rsid w:val="009735C0"/>
    <w:rsid w:val="00973A69"/>
    <w:rsid w:val="009742C5"/>
    <w:rsid w:val="009743C3"/>
    <w:rsid w:val="00974462"/>
    <w:rsid w:val="00974944"/>
    <w:rsid w:val="00975B9D"/>
    <w:rsid w:val="00975F9C"/>
    <w:rsid w:val="00976BD8"/>
    <w:rsid w:val="00976C35"/>
    <w:rsid w:val="00976EB7"/>
    <w:rsid w:val="0097702A"/>
    <w:rsid w:val="00977137"/>
    <w:rsid w:val="0097746B"/>
    <w:rsid w:val="009779AC"/>
    <w:rsid w:val="00977F73"/>
    <w:rsid w:val="00980596"/>
    <w:rsid w:val="00980676"/>
    <w:rsid w:val="00980876"/>
    <w:rsid w:val="009809BB"/>
    <w:rsid w:val="00980CA9"/>
    <w:rsid w:val="009821D1"/>
    <w:rsid w:val="00983A33"/>
    <w:rsid w:val="00983A45"/>
    <w:rsid w:val="00985B30"/>
    <w:rsid w:val="00985E4F"/>
    <w:rsid w:val="0098621D"/>
    <w:rsid w:val="00986ADD"/>
    <w:rsid w:val="00986EF2"/>
    <w:rsid w:val="0098723B"/>
    <w:rsid w:val="00987E98"/>
    <w:rsid w:val="00990492"/>
    <w:rsid w:val="0099078E"/>
    <w:rsid w:val="0099085A"/>
    <w:rsid w:val="00990890"/>
    <w:rsid w:val="00991A87"/>
    <w:rsid w:val="0099303B"/>
    <w:rsid w:val="009931AF"/>
    <w:rsid w:val="0099355B"/>
    <w:rsid w:val="00994388"/>
    <w:rsid w:val="00995AB9"/>
    <w:rsid w:val="00997E01"/>
    <w:rsid w:val="00997FC8"/>
    <w:rsid w:val="009A033A"/>
    <w:rsid w:val="009A0482"/>
    <w:rsid w:val="009A0BAE"/>
    <w:rsid w:val="009A0D25"/>
    <w:rsid w:val="009A0FA3"/>
    <w:rsid w:val="009A2908"/>
    <w:rsid w:val="009A2A19"/>
    <w:rsid w:val="009A31EA"/>
    <w:rsid w:val="009A3459"/>
    <w:rsid w:val="009A3F28"/>
    <w:rsid w:val="009A4903"/>
    <w:rsid w:val="009A5513"/>
    <w:rsid w:val="009A5B8E"/>
    <w:rsid w:val="009A5DFA"/>
    <w:rsid w:val="009A5FE7"/>
    <w:rsid w:val="009A62D9"/>
    <w:rsid w:val="009A634A"/>
    <w:rsid w:val="009A6705"/>
    <w:rsid w:val="009A673E"/>
    <w:rsid w:val="009A677E"/>
    <w:rsid w:val="009A6A38"/>
    <w:rsid w:val="009A6AFC"/>
    <w:rsid w:val="009A7C10"/>
    <w:rsid w:val="009B031A"/>
    <w:rsid w:val="009B0FFD"/>
    <w:rsid w:val="009B1AC3"/>
    <w:rsid w:val="009B1FC3"/>
    <w:rsid w:val="009B207A"/>
    <w:rsid w:val="009B221D"/>
    <w:rsid w:val="009B2607"/>
    <w:rsid w:val="009B27D5"/>
    <w:rsid w:val="009B2C85"/>
    <w:rsid w:val="009B3623"/>
    <w:rsid w:val="009B382F"/>
    <w:rsid w:val="009B3A42"/>
    <w:rsid w:val="009B4E40"/>
    <w:rsid w:val="009B53E5"/>
    <w:rsid w:val="009B5B1A"/>
    <w:rsid w:val="009B6105"/>
    <w:rsid w:val="009B63AB"/>
    <w:rsid w:val="009B7429"/>
    <w:rsid w:val="009B74F1"/>
    <w:rsid w:val="009B78A8"/>
    <w:rsid w:val="009C0003"/>
    <w:rsid w:val="009C01D4"/>
    <w:rsid w:val="009C1026"/>
    <w:rsid w:val="009C1132"/>
    <w:rsid w:val="009C16A3"/>
    <w:rsid w:val="009C191A"/>
    <w:rsid w:val="009C1ADE"/>
    <w:rsid w:val="009C271A"/>
    <w:rsid w:val="009C2D3F"/>
    <w:rsid w:val="009C3892"/>
    <w:rsid w:val="009C4B4E"/>
    <w:rsid w:val="009C65A6"/>
    <w:rsid w:val="009C708A"/>
    <w:rsid w:val="009C77B4"/>
    <w:rsid w:val="009C7ECE"/>
    <w:rsid w:val="009D0760"/>
    <w:rsid w:val="009D0830"/>
    <w:rsid w:val="009D09FE"/>
    <w:rsid w:val="009D0A0B"/>
    <w:rsid w:val="009D1238"/>
    <w:rsid w:val="009D1F9D"/>
    <w:rsid w:val="009D238A"/>
    <w:rsid w:val="009D2AD0"/>
    <w:rsid w:val="009D2B95"/>
    <w:rsid w:val="009D46A0"/>
    <w:rsid w:val="009D470B"/>
    <w:rsid w:val="009D69F8"/>
    <w:rsid w:val="009D6AC1"/>
    <w:rsid w:val="009D7A36"/>
    <w:rsid w:val="009D7B15"/>
    <w:rsid w:val="009D7C41"/>
    <w:rsid w:val="009E035D"/>
    <w:rsid w:val="009E1CB6"/>
    <w:rsid w:val="009E281C"/>
    <w:rsid w:val="009E2E88"/>
    <w:rsid w:val="009E42DC"/>
    <w:rsid w:val="009E43C6"/>
    <w:rsid w:val="009E47A9"/>
    <w:rsid w:val="009E56B9"/>
    <w:rsid w:val="009E5AC5"/>
    <w:rsid w:val="009E63CB"/>
    <w:rsid w:val="009E6C65"/>
    <w:rsid w:val="009E7395"/>
    <w:rsid w:val="009E7A5E"/>
    <w:rsid w:val="009F0211"/>
    <w:rsid w:val="009F02C4"/>
    <w:rsid w:val="009F0676"/>
    <w:rsid w:val="009F0AEA"/>
    <w:rsid w:val="009F14F2"/>
    <w:rsid w:val="009F22F1"/>
    <w:rsid w:val="009F2C3E"/>
    <w:rsid w:val="009F31EF"/>
    <w:rsid w:val="009F3749"/>
    <w:rsid w:val="009F4D38"/>
    <w:rsid w:val="009F5A4F"/>
    <w:rsid w:val="009F5BF5"/>
    <w:rsid w:val="009F5FBC"/>
    <w:rsid w:val="009F68F1"/>
    <w:rsid w:val="009F6D60"/>
    <w:rsid w:val="009F7B5A"/>
    <w:rsid w:val="00A0062A"/>
    <w:rsid w:val="00A00923"/>
    <w:rsid w:val="00A00ABB"/>
    <w:rsid w:val="00A00B33"/>
    <w:rsid w:val="00A0201A"/>
    <w:rsid w:val="00A023FF"/>
    <w:rsid w:val="00A028D6"/>
    <w:rsid w:val="00A02CAC"/>
    <w:rsid w:val="00A037BC"/>
    <w:rsid w:val="00A03D2E"/>
    <w:rsid w:val="00A06108"/>
    <w:rsid w:val="00A068BE"/>
    <w:rsid w:val="00A07249"/>
    <w:rsid w:val="00A07AD1"/>
    <w:rsid w:val="00A10A2C"/>
    <w:rsid w:val="00A11197"/>
    <w:rsid w:val="00A111FB"/>
    <w:rsid w:val="00A11C52"/>
    <w:rsid w:val="00A11FE3"/>
    <w:rsid w:val="00A120EE"/>
    <w:rsid w:val="00A129FD"/>
    <w:rsid w:val="00A1394D"/>
    <w:rsid w:val="00A16278"/>
    <w:rsid w:val="00A16AA1"/>
    <w:rsid w:val="00A1758E"/>
    <w:rsid w:val="00A20C32"/>
    <w:rsid w:val="00A216F9"/>
    <w:rsid w:val="00A218A9"/>
    <w:rsid w:val="00A21B74"/>
    <w:rsid w:val="00A21B7D"/>
    <w:rsid w:val="00A221CD"/>
    <w:rsid w:val="00A22524"/>
    <w:rsid w:val="00A229B2"/>
    <w:rsid w:val="00A229DF"/>
    <w:rsid w:val="00A22F78"/>
    <w:rsid w:val="00A240B8"/>
    <w:rsid w:val="00A240BD"/>
    <w:rsid w:val="00A24AF4"/>
    <w:rsid w:val="00A24B20"/>
    <w:rsid w:val="00A2527B"/>
    <w:rsid w:val="00A256F1"/>
    <w:rsid w:val="00A26569"/>
    <w:rsid w:val="00A270E0"/>
    <w:rsid w:val="00A30AC6"/>
    <w:rsid w:val="00A3150A"/>
    <w:rsid w:val="00A31785"/>
    <w:rsid w:val="00A31942"/>
    <w:rsid w:val="00A31A44"/>
    <w:rsid w:val="00A31F84"/>
    <w:rsid w:val="00A321BA"/>
    <w:rsid w:val="00A3220D"/>
    <w:rsid w:val="00A32BFC"/>
    <w:rsid w:val="00A33DFD"/>
    <w:rsid w:val="00A3447D"/>
    <w:rsid w:val="00A34B29"/>
    <w:rsid w:val="00A34DAD"/>
    <w:rsid w:val="00A34DC6"/>
    <w:rsid w:val="00A35E78"/>
    <w:rsid w:val="00A36080"/>
    <w:rsid w:val="00A360CF"/>
    <w:rsid w:val="00A361C4"/>
    <w:rsid w:val="00A3640D"/>
    <w:rsid w:val="00A366D2"/>
    <w:rsid w:val="00A36779"/>
    <w:rsid w:val="00A3736E"/>
    <w:rsid w:val="00A374D9"/>
    <w:rsid w:val="00A3797B"/>
    <w:rsid w:val="00A379C0"/>
    <w:rsid w:val="00A40200"/>
    <w:rsid w:val="00A40570"/>
    <w:rsid w:val="00A406DA"/>
    <w:rsid w:val="00A40949"/>
    <w:rsid w:val="00A40BF7"/>
    <w:rsid w:val="00A40C6C"/>
    <w:rsid w:val="00A417EE"/>
    <w:rsid w:val="00A420E6"/>
    <w:rsid w:val="00A42401"/>
    <w:rsid w:val="00A427D0"/>
    <w:rsid w:val="00A42B39"/>
    <w:rsid w:val="00A4322C"/>
    <w:rsid w:val="00A4323C"/>
    <w:rsid w:val="00A43E1E"/>
    <w:rsid w:val="00A44069"/>
    <w:rsid w:val="00A44AE7"/>
    <w:rsid w:val="00A44B3B"/>
    <w:rsid w:val="00A45C7F"/>
    <w:rsid w:val="00A46BFD"/>
    <w:rsid w:val="00A471CA"/>
    <w:rsid w:val="00A50520"/>
    <w:rsid w:val="00A5067D"/>
    <w:rsid w:val="00A516A6"/>
    <w:rsid w:val="00A51B9B"/>
    <w:rsid w:val="00A52790"/>
    <w:rsid w:val="00A528CF"/>
    <w:rsid w:val="00A52CE6"/>
    <w:rsid w:val="00A52D95"/>
    <w:rsid w:val="00A54002"/>
    <w:rsid w:val="00A54E05"/>
    <w:rsid w:val="00A55233"/>
    <w:rsid w:val="00A554EF"/>
    <w:rsid w:val="00A555DE"/>
    <w:rsid w:val="00A55689"/>
    <w:rsid w:val="00A55918"/>
    <w:rsid w:val="00A55A7F"/>
    <w:rsid w:val="00A56379"/>
    <w:rsid w:val="00A56EA2"/>
    <w:rsid w:val="00A57494"/>
    <w:rsid w:val="00A57C0A"/>
    <w:rsid w:val="00A6014E"/>
    <w:rsid w:val="00A6032E"/>
    <w:rsid w:val="00A604DE"/>
    <w:rsid w:val="00A60C61"/>
    <w:rsid w:val="00A61448"/>
    <w:rsid w:val="00A6292A"/>
    <w:rsid w:val="00A62D61"/>
    <w:rsid w:val="00A630EE"/>
    <w:rsid w:val="00A632F3"/>
    <w:rsid w:val="00A636A0"/>
    <w:rsid w:val="00A63F0C"/>
    <w:rsid w:val="00A65632"/>
    <w:rsid w:val="00A65B07"/>
    <w:rsid w:val="00A65C58"/>
    <w:rsid w:val="00A65CE3"/>
    <w:rsid w:val="00A666BB"/>
    <w:rsid w:val="00A66B6D"/>
    <w:rsid w:val="00A6781A"/>
    <w:rsid w:val="00A705EA"/>
    <w:rsid w:val="00A70C7B"/>
    <w:rsid w:val="00A714C3"/>
    <w:rsid w:val="00A71582"/>
    <w:rsid w:val="00A71E9D"/>
    <w:rsid w:val="00A723F9"/>
    <w:rsid w:val="00A72835"/>
    <w:rsid w:val="00A72973"/>
    <w:rsid w:val="00A73711"/>
    <w:rsid w:val="00A73BF9"/>
    <w:rsid w:val="00A73E18"/>
    <w:rsid w:val="00A73F6B"/>
    <w:rsid w:val="00A74982"/>
    <w:rsid w:val="00A7514A"/>
    <w:rsid w:val="00A75377"/>
    <w:rsid w:val="00A753D8"/>
    <w:rsid w:val="00A75C69"/>
    <w:rsid w:val="00A76278"/>
    <w:rsid w:val="00A778AF"/>
    <w:rsid w:val="00A7798F"/>
    <w:rsid w:val="00A77CE6"/>
    <w:rsid w:val="00A77D8F"/>
    <w:rsid w:val="00A80439"/>
    <w:rsid w:val="00A808F6"/>
    <w:rsid w:val="00A80BE2"/>
    <w:rsid w:val="00A80CC8"/>
    <w:rsid w:val="00A81C73"/>
    <w:rsid w:val="00A81DC9"/>
    <w:rsid w:val="00A81F7C"/>
    <w:rsid w:val="00A82075"/>
    <w:rsid w:val="00A82600"/>
    <w:rsid w:val="00A826CA"/>
    <w:rsid w:val="00A8278E"/>
    <w:rsid w:val="00A832E7"/>
    <w:rsid w:val="00A838E1"/>
    <w:rsid w:val="00A84F7B"/>
    <w:rsid w:val="00A85CBD"/>
    <w:rsid w:val="00A85EB8"/>
    <w:rsid w:val="00A85FF1"/>
    <w:rsid w:val="00A8655E"/>
    <w:rsid w:val="00A86DCE"/>
    <w:rsid w:val="00A86F87"/>
    <w:rsid w:val="00A87BB1"/>
    <w:rsid w:val="00A91380"/>
    <w:rsid w:val="00A91824"/>
    <w:rsid w:val="00A91FBD"/>
    <w:rsid w:val="00A92BAF"/>
    <w:rsid w:val="00A92D09"/>
    <w:rsid w:val="00A92DF0"/>
    <w:rsid w:val="00A9317C"/>
    <w:rsid w:val="00A93286"/>
    <w:rsid w:val="00A93C69"/>
    <w:rsid w:val="00A949A4"/>
    <w:rsid w:val="00A94DF9"/>
    <w:rsid w:val="00A957E0"/>
    <w:rsid w:val="00A95A48"/>
    <w:rsid w:val="00A96B21"/>
    <w:rsid w:val="00A971E1"/>
    <w:rsid w:val="00A97364"/>
    <w:rsid w:val="00AA00A5"/>
    <w:rsid w:val="00AA02D9"/>
    <w:rsid w:val="00AA1C90"/>
    <w:rsid w:val="00AA2DED"/>
    <w:rsid w:val="00AA2E29"/>
    <w:rsid w:val="00AA2EB5"/>
    <w:rsid w:val="00AA331A"/>
    <w:rsid w:val="00AA33B0"/>
    <w:rsid w:val="00AA357C"/>
    <w:rsid w:val="00AA36CB"/>
    <w:rsid w:val="00AA3730"/>
    <w:rsid w:val="00AA3DBA"/>
    <w:rsid w:val="00AA44BD"/>
    <w:rsid w:val="00AA464F"/>
    <w:rsid w:val="00AA4861"/>
    <w:rsid w:val="00AA54A7"/>
    <w:rsid w:val="00AA5976"/>
    <w:rsid w:val="00AA5E7E"/>
    <w:rsid w:val="00AA639A"/>
    <w:rsid w:val="00AA715C"/>
    <w:rsid w:val="00AA749B"/>
    <w:rsid w:val="00AA74AB"/>
    <w:rsid w:val="00AA74B9"/>
    <w:rsid w:val="00AB028C"/>
    <w:rsid w:val="00AB1399"/>
    <w:rsid w:val="00AB1F77"/>
    <w:rsid w:val="00AB1FF4"/>
    <w:rsid w:val="00AB20CF"/>
    <w:rsid w:val="00AB3151"/>
    <w:rsid w:val="00AB378F"/>
    <w:rsid w:val="00AB4FFE"/>
    <w:rsid w:val="00AB5463"/>
    <w:rsid w:val="00AB5784"/>
    <w:rsid w:val="00AB5CF6"/>
    <w:rsid w:val="00AB7205"/>
    <w:rsid w:val="00AB7EE1"/>
    <w:rsid w:val="00AC031C"/>
    <w:rsid w:val="00AC0879"/>
    <w:rsid w:val="00AC0FB0"/>
    <w:rsid w:val="00AC111F"/>
    <w:rsid w:val="00AC11EC"/>
    <w:rsid w:val="00AC1FEA"/>
    <w:rsid w:val="00AC23D9"/>
    <w:rsid w:val="00AC24F3"/>
    <w:rsid w:val="00AC25E2"/>
    <w:rsid w:val="00AC2BE1"/>
    <w:rsid w:val="00AC2FC3"/>
    <w:rsid w:val="00AC316F"/>
    <w:rsid w:val="00AC3721"/>
    <w:rsid w:val="00AC4282"/>
    <w:rsid w:val="00AC4DA5"/>
    <w:rsid w:val="00AC4FE9"/>
    <w:rsid w:val="00AC5337"/>
    <w:rsid w:val="00AC750F"/>
    <w:rsid w:val="00AC799A"/>
    <w:rsid w:val="00AD0444"/>
    <w:rsid w:val="00AD08F5"/>
    <w:rsid w:val="00AD0D21"/>
    <w:rsid w:val="00AD0F46"/>
    <w:rsid w:val="00AD23C3"/>
    <w:rsid w:val="00AD2433"/>
    <w:rsid w:val="00AD302A"/>
    <w:rsid w:val="00AD316E"/>
    <w:rsid w:val="00AD341F"/>
    <w:rsid w:val="00AD48A0"/>
    <w:rsid w:val="00AD4A0A"/>
    <w:rsid w:val="00AD584F"/>
    <w:rsid w:val="00AD58BD"/>
    <w:rsid w:val="00AD62EB"/>
    <w:rsid w:val="00AD6F89"/>
    <w:rsid w:val="00AD7034"/>
    <w:rsid w:val="00AD769A"/>
    <w:rsid w:val="00AD7902"/>
    <w:rsid w:val="00AD7D4B"/>
    <w:rsid w:val="00AE0727"/>
    <w:rsid w:val="00AE0ECE"/>
    <w:rsid w:val="00AE10D2"/>
    <w:rsid w:val="00AE1133"/>
    <w:rsid w:val="00AE18E1"/>
    <w:rsid w:val="00AE2CCA"/>
    <w:rsid w:val="00AE328E"/>
    <w:rsid w:val="00AE527B"/>
    <w:rsid w:val="00AE536C"/>
    <w:rsid w:val="00AE6223"/>
    <w:rsid w:val="00AF0EFF"/>
    <w:rsid w:val="00AF104C"/>
    <w:rsid w:val="00AF1296"/>
    <w:rsid w:val="00AF1FDC"/>
    <w:rsid w:val="00AF21A0"/>
    <w:rsid w:val="00AF2699"/>
    <w:rsid w:val="00AF2CA1"/>
    <w:rsid w:val="00AF32C1"/>
    <w:rsid w:val="00AF33A0"/>
    <w:rsid w:val="00AF36BA"/>
    <w:rsid w:val="00AF36C4"/>
    <w:rsid w:val="00AF3801"/>
    <w:rsid w:val="00AF41DB"/>
    <w:rsid w:val="00AF4606"/>
    <w:rsid w:val="00AF4EB8"/>
    <w:rsid w:val="00AF4FED"/>
    <w:rsid w:val="00AF5691"/>
    <w:rsid w:val="00AF5DA1"/>
    <w:rsid w:val="00AF6286"/>
    <w:rsid w:val="00AF6335"/>
    <w:rsid w:val="00AF6A66"/>
    <w:rsid w:val="00B001EA"/>
    <w:rsid w:val="00B00280"/>
    <w:rsid w:val="00B00493"/>
    <w:rsid w:val="00B00759"/>
    <w:rsid w:val="00B00B0A"/>
    <w:rsid w:val="00B00D43"/>
    <w:rsid w:val="00B010D0"/>
    <w:rsid w:val="00B01611"/>
    <w:rsid w:val="00B016C5"/>
    <w:rsid w:val="00B01CE8"/>
    <w:rsid w:val="00B01D0A"/>
    <w:rsid w:val="00B01D8D"/>
    <w:rsid w:val="00B0333E"/>
    <w:rsid w:val="00B03A98"/>
    <w:rsid w:val="00B04316"/>
    <w:rsid w:val="00B052BF"/>
    <w:rsid w:val="00B05815"/>
    <w:rsid w:val="00B05F3E"/>
    <w:rsid w:val="00B05F6A"/>
    <w:rsid w:val="00B069FF"/>
    <w:rsid w:val="00B07123"/>
    <w:rsid w:val="00B07190"/>
    <w:rsid w:val="00B07333"/>
    <w:rsid w:val="00B075C5"/>
    <w:rsid w:val="00B077F7"/>
    <w:rsid w:val="00B07FA0"/>
    <w:rsid w:val="00B10018"/>
    <w:rsid w:val="00B106D9"/>
    <w:rsid w:val="00B10A38"/>
    <w:rsid w:val="00B115DE"/>
    <w:rsid w:val="00B11B21"/>
    <w:rsid w:val="00B11B45"/>
    <w:rsid w:val="00B11C22"/>
    <w:rsid w:val="00B11CF2"/>
    <w:rsid w:val="00B11EFE"/>
    <w:rsid w:val="00B12573"/>
    <w:rsid w:val="00B1273C"/>
    <w:rsid w:val="00B12EB2"/>
    <w:rsid w:val="00B1374E"/>
    <w:rsid w:val="00B1437D"/>
    <w:rsid w:val="00B1517F"/>
    <w:rsid w:val="00B15C4D"/>
    <w:rsid w:val="00B15E2F"/>
    <w:rsid w:val="00B176D6"/>
    <w:rsid w:val="00B20C56"/>
    <w:rsid w:val="00B20F2E"/>
    <w:rsid w:val="00B21038"/>
    <w:rsid w:val="00B21265"/>
    <w:rsid w:val="00B2136B"/>
    <w:rsid w:val="00B2167F"/>
    <w:rsid w:val="00B22DAA"/>
    <w:rsid w:val="00B22DCA"/>
    <w:rsid w:val="00B24738"/>
    <w:rsid w:val="00B247F1"/>
    <w:rsid w:val="00B24E4C"/>
    <w:rsid w:val="00B253E8"/>
    <w:rsid w:val="00B25704"/>
    <w:rsid w:val="00B25E30"/>
    <w:rsid w:val="00B25E62"/>
    <w:rsid w:val="00B26181"/>
    <w:rsid w:val="00B262DB"/>
    <w:rsid w:val="00B265C8"/>
    <w:rsid w:val="00B26855"/>
    <w:rsid w:val="00B2686B"/>
    <w:rsid w:val="00B26BD6"/>
    <w:rsid w:val="00B26E2F"/>
    <w:rsid w:val="00B26FAF"/>
    <w:rsid w:val="00B27D1F"/>
    <w:rsid w:val="00B3003E"/>
    <w:rsid w:val="00B304D1"/>
    <w:rsid w:val="00B3059F"/>
    <w:rsid w:val="00B3090E"/>
    <w:rsid w:val="00B3091D"/>
    <w:rsid w:val="00B30D11"/>
    <w:rsid w:val="00B30FD3"/>
    <w:rsid w:val="00B3260E"/>
    <w:rsid w:val="00B32D31"/>
    <w:rsid w:val="00B33648"/>
    <w:rsid w:val="00B33750"/>
    <w:rsid w:val="00B339B2"/>
    <w:rsid w:val="00B33AE6"/>
    <w:rsid w:val="00B33D66"/>
    <w:rsid w:val="00B33E36"/>
    <w:rsid w:val="00B34659"/>
    <w:rsid w:val="00B346A9"/>
    <w:rsid w:val="00B34E9A"/>
    <w:rsid w:val="00B34F95"/>
    <w:rsid w:val="00B351DB"/>
    <w:rsid w:val="00B35576"/>
    <w:rsid w:val="00B3558A"/>
    <w:rsid w:val="00B358F6"/>
    <w:rsid w:val="00B35B45"/>
    <w:rsid w:val="00B35C66"/>
    <w:rsid w:val="00B36B29"/>
    <w:rsid w:val="00B371BB"/>
    <w:rsid w:val="00B37E4B"/>
    <w:rsid w:val="00B4029D"/>
    <w:rsid w:val="00B41C1D"/>
    <w:rsid w:val="00B41D33"/>
    <w:rsid w:val="00B42441"/>
    <w:rsid w:val="00B42B9B"/>
    <w:rsid w:val="00B42D65"/>
    <w:rsid w:val="00B42E58"/>
    <w:rsid w:val="00B42F5E"/>
    <w:rsid w:val="00B44CC7"/>
    <w:rsid w:val="00B4567F"/>
    <w:rsid w:val="00B457CF"/>
    <w:rsid w:val="00B45A0D"/>
    <w:rsid w:val="00B463D8"/>
    <w:rsid w:val="00B46868"/>
    <w:rsid w:val="00B4703E"/>
    <w:rsid w:val="00B47E8B"/>
    <w:rsid w:val="00B5269F"/>
    <w:rsid w:val="00B530D3"/>
    <w:rsid w:val="00B533C4"/>
    <w:rsid w:val="00B53407"/>
    <w:rsid w:val="00B53558"/>
    <w:rsid w:val="00B53940"/>
    <w:rsid w:val="00B53E0C"/>
    <w:rsid w:val="00B54AB9"/>
    <w:rsid w:val="00B54FB4"/>
    <w:rsid w:val="00B55425"/>
    <w:rsid w:val="00B55661"/>
    <w:rsid w:val="00B556D9"/>
    <w:rsid w:val="00B5613E"/>
    <w:rsid w:val="00B561EC"/>
    <w:rsid w:val="00B566E1"/>
    <w:rsid w:val="00B56EFC"/>
    <w:rsid w:val="00B574FA"/>
    <w:rsid w:val="00B57D78"/>
    <w:rsid w:val="00B57E79"/>
    <w:rsid w:val="00B57ED1"/>
    <w:rsid w:val="00B60460"/>
    <w:rsid w:val="00B60624"/>
    <w:rsid w:val="00B60D9D"/>
    <w:rsid w:val="00B60E2D"/>
    <w:rsid w:val="00B61345"/>
    <w:rsid w:val="00B6140D"/>
    <w:rsid w:val="00B619C6"/>
    <w:rsid w:val="00B621DF"/>
    <w:rsid w:val="00B6354B"/>
    <w:rsid w:val="00B6391F"/>
    <w:rsid w:val="00B63A69"/>
    <w:rsid w:val="00B641E4"/>
    <w:rsid w:val="00B648BC"/>
    <w:rsid w:val="00B64DF2"/>
    <w:rsid w:val="00B64E27"/>
    <w:rsid w:val="00B6595D"/>
    <w:rsid w:val="00B661A2"/>
    <w:rsid w:val="00B66407"/>
    <w:rsid w:val="00B66659"/>
    <w:rsid w:val="00B66ECC"/>
    <w:rsid w:val="00B671FB"/>
    <w:rsid w:val="00B67C7E"/>
    <w:rsid w:val="00B67F9E"/>
    <w:rsid w:val="00B70044"/>
    <w:rsid w:val="00B704D4"/>
    <w:rsid w:val="00B708E4"/>
    <w:rsid w:val="00B70A82"/>
    <w:rsid w:val="00B70D43"/>
    <w:rsid w:val="00B71739"/>
    <w:rsid w:val="00B71809"/>
    <w:rsid w:val="00B71A53"/>
    <w:rsid w:val="00B71DDC"/>
    <w:rsid w:val="00B72235"/>
    <w:rsid w:val="00B72AE9"/>
    <w:rsid w:val="00B73310"/>
    <w:rsid w:val="00B736E0"/>
    <w:rsid w:val="00B73EF9"/>
    <w:rsid w:val="00B74C0E"/>
    <w:rsid w:val="00B74D10"/>
    <w:rsid w:val="00B76339"/>
    <w:rsid w:val="00B7654A"/>
    <w:rsid w:val="00B77981"/>
    <w:rsid w:val="00B80E0F"/>
    <w:rsid w:val="00B814AF"/>
    <w:rsid w:val="00B820AA"/>
    <w:rsid w:val="00B82785"/>
    <w:rsid w:val="00B82B69"/>
    <w:rsid w:val="00B82E79"/>
    <w:rsid w:val="00B835D3"/>
    <w:rsid w:val="00B838EC"/>
    <w:rsid w:val="00B8535F"/>
    <w:rsid w:val="00B855C2"/>
    <w:rsid w:val="00B855CE"/>
    <w:rsid w:val="00B8598A"/>
    <w:rsid w:val="00B85F7B"/>
    <w:rsid w:val="00B8787D"/>
    <w:rsid w:val="00B87DEA"/>
    <w:rsid w:val="00B9007D"/>
    <w:rsid w:val="00B90A42"/>
    <w:rsid w:val="00B90BD4"/>
    <w:rsid w:val="00B90D06"/>
    <w:rsid w:val="00B91992"/>
    <w:rsid w:val="00B92571"/>
    <w:rsid w:val="00B927FE"/>
    <w:rsid w:val="00B92B92"/>
    <w:rsid w:val="00B92F81"/>
    <w:rsid w:val="00B930B9"/>
    <w:rsid w:val="00B93380"/>
    <w:rsid w:val="00B93C0A"/>
    <w:rsid w:val="00B93C69"/>
    <w:rsid w:val="00B93FAC"/>
    <w:rsid w:val="00B93FB0"/>
    <w:rsid w:val="00B9457C"/>
    <w:rsid w:val="00B9465A"/>
    <w:rsid w:val="00B9556C"/>
    <w:rsid w:val="00B95D7A"/>
    <w:rsid w:val="00B96084"/>
    <w:rsid w:val="00B963FE"/>
    <w:rsid w:val="00B96424"/>
    <w:rsid w:val="00B96FB8"/>
    <w:rsid w:val="00B973D9"/>
    <w:rsid w:val="00B97A07"/>
    <w:rsid w:val="00B97D1A"/>
    <w:rsid w:val="00B97D7C"/>
    <w:rsid w:val="00B97FBB"/>
    <w:rsid w:val="00BA07C8"/>
    <w:rsid w:val="00BA0908"/>
    <w:rsid w:val="00BA11A7"/>
    <w:rsid w:val="00BA14AA"/>
    <w:rsid w:val="00BA215D"/>
    <w:rsid w:val="00BA2191"/>
    <w:rsid w:val="00BA22A6"/>
    <w:rsid w:val="00BA281D"/>
    <w:rsid w:val="00BA3910"/>
    <w:rsid w:val="00BA52F1"/>
    <w:rsid w:val="00BA549F"/>
    <w:rsid w:val="00BA59B4"/>
    <w:rsid w:val="00BA64F1"/>
    <w:rsid w:val="00BA74D4"/>
    <w:rsid w:val="00BA7FBF"/>
    <w:rsid w:val="00BB046E"/>
    <w:rsid w:val="00BB1144"/>
    <w:rsid w:val="00BB1486"/>
    <w:rsid w:val="00BB1807"/>
    <w:rsid w:val="00BB221B"/>
    <w:rsid w:val="00BB2265"/>
    <w:rsid w:val="00BB2430"/>
    <w:rsid w:val="00BB279A"/>
    <w:rsid w:val="00BB2ABA"/>
    <w:rsid w:val="00BB30E0"/>
    <w:rsid w:val="00BB33E7"/>
    <w:rsid w:val="00BB3748"/>
    <w:rsid w:val="00BB37DF"/>
    <w:rsid w:val="00BB3970"/>
    <w:rsid w:val="00BB4723"/>
    <w:rsid w:val="00BB4AE3"/>
    <w:rsid w:val="00BB4DFF"/>
    <w:rsid w:val="00BB549E"/>
    <w:rsid w:val="00BB56E4"/>
    <w:rsid w:val="00BB5787"/>
    <w:rsid w:val="00BB5DFA"/>
    <w:rsid w:val="00BB5FA8"/>
    <w:rsid w:val="00BB6A4F"/>
    <w:rsid w:val="00BB6B09"/>
    <w:rsid w:val="00BB6EA5"/>
    <w:rsid w:val="00BB6F90"/>
    <w:rsid w:val="00BB7001"/>
    <w:rsid w:val="00BB723E"/>
    <w:rsid w:val="00BB7945"/>
    <w:rsid w:val="00BB7BC6"/>
    <w:rsid w:val="00BB7EF8"/>
    <w:rsid w:val="00BC1A6D"/>
    <w:rsid w:val="00BC1B58"/>
    <w:rsid w:val="00BC1D34"/>
    <w:rsid w:val="00BC2A35"/>
    <w:rsid w:val="00BC2CE9"/>
    <w:rsid w:val="00BC311D"/>
    <w:rsid w:val="00BC340E"/>
    <w:rsid w:val="00BC4347"/>
    <w:rsid w:val="00BC43BB"/>
    <w:rsid w:val="00BC43FB"/>
    <w:rsid w:val="00BC4A61"/>
    <w:rsid w:val="00BC52DC"/>
    <w:rsid w:val="00BC54CD"/>
    <w:rsid w:val="00BC562E"/>
    <w:rsid w:val="00BC57E4"/>
    <w:rsid w:val="00BC5A7C"/>
    <w:rsid w:val="00BC613E"/>
    <w:rsid w:val="00BC62E3"/>
    <w:rsid w:val="00BC6440"/>
    <w:rsid w:val="00BC6FE3"/>
    <w:rsid w:val="00BC74FD"/>
    <w:rsid w:val="00BC779A"/>
    <w:rsid w:val="00BC7C63"/>
    <w:rsid w:val="00BC7C8D"/>
    <w:rsid w:val="00BD1C49"/>
    <w:rsid w:val="00BD3555"/>
    <w:rsid w:val="00BD360C"/>
    <w:rsid w:val="00BD456B"/>
    <w:rsid w:val="00BD464B"/>
    <w:rsid w:val="00BD4D3A"/>
    <w:rsid w:val="00BD5C11"/>
    <w:rsid w:val="00BD62CD"/>
    <w:rsid w:val="00BD72CF"/>
    <w:rsid w:val="00BD768B"/>
    <w:rsid w:val="00BE00E1"/>
    <w:rsid w:val="00BE042C"/>
    <w:rsid w:val="00BE07B2"/>
    <w:rsid w:val="00BE0960"/>
    <w:rsid w:val="00BE1AD0"/>
    <w:rsid w:val="00BE306A"/>
    <w:rsid w:val="00BE31C0"/>
    <w:rsid w:val="00BE3A19"/>
    <w:rsid w:val="00BE3D7F"/>
    <w:rsid w:val="00BE452A"/>
    <w:rsid w:val="00BE4E62"/>
    <w:rsid w:val="00BE5192"/>
    <w:rsid w:val="00BE63AD"/>
    <w:rsid w:val="00BE652C"/>
    <w:rsid w:val="00BE6955"/>
    <w:rsid w:val="00BE6C19"/>
    <w:rsid w:val="00BE6D47"/>
    <w:rsid w:val="00BE7CBC"/>
    <w:rsid w:val="00BE7F64"/>
    <w:rsid w:val="00BF03A7"/>
    <w:rsid w:val="00BF05C6"/>
    <w:rsid w:val="00BF0908"/>
    <w:rsid w:val="00BF0B59"/>
    <w:rsid w:val="00BF10D0"/>
    <w:rsid w:val="00BF128B"/>
    <w:rsid w:val="00BF234B"/>
    <w:rsid w:val="00BF2796"/>
    <w:rsid w:val="00BF2B70"/>
    <w:rsid w:val="00BF3492"/>
    <w:rsid w:val="00BF351C"/>
    <w:rsid w:val="00BF3984"/>
    <w:rsid w:val="00BF3D70"/>
    <w:rsid w:val="00BF4366"/>
    <w:rsid w:val="00BF443C"/>
    <w:rsid w:val="00BF4D79"/>
    <w:rsid w:val="00BF52D6"/>
    <w:rsid w:val="00BF575E"/>
    <w:rsid w:val="00BF5B7A"/>
    <w:rsid w:val="00BF5C69"/>
    <w:rsid w:val="00BF6ECD"/>
    <w:rsid w:val="00BF6F7B"/>
    <w:rsid w:val="00BF76EC"/>
    <w:rsid w:val="00BF7748"/>
    <w:rsid w:val="00C00258"/>
    <w:rsid w:val="00C00B6F"/>
    <w:rsid w:val="00C00FC4"/>
    <w:rsid w:val="00C01128"/>
    <w:rsid w:val="00C01560"/>
    <w:rsid w:val="00C01799"/>
    <w:rsid w:val="00C01B9F"/>
    <w:rsid w:val="00C01D97"/>
    <w:rsid w:val="00C02906"/>
    <w:rsid w:val="00C02A4E"/>
    <w:rsid w:val="00C02C84"/>
    <w:rsid w:val="00C02E21"/>
    <w:rsid w:val="00C03040"/>
    <w:rsid w:val="00C030AD"/>
    <w:rsid w:val="00C030CA"/>
    <w:rsid w:val="00C03BDA"/>
    <w:rsid w:val="00C0407C"/>
    <w:rsid w:val="00C0444A"/>
    <w:rsid w:val="00C04D49"/>
    <w:rsid w:val="00C05DBC"/>
    <w:rsid w:val="00C0647C"/>
    <w:rsid w:val="00C06B3A"/>
    <w:rsid w:val="00C06E16"/>
    <w:rsid w:val="00C07E4A"/>
    <w:rsid w:val="00C1061D"/>
    <w:rsid w:val="00C11A29"/>
    <w:rsid w:val="00C1220D"/>
    <w:rsid w:val="00C12979"/>
    <w:rsid w:val="00C12DAF"/>
    <w:rsid w:val="00C12EC5"/>
    <w:rsid w:val="00C12F3A"/>
    <w:rsid w:val="00C1382F"/>
    <w:rsid w:val="00C13930"/>
    <w:rsid w:val="00C13BAB"/>
    <w:rsid w:val="00C13D89"/>
    <w:rsid w:val="00C14A6F"/>
    <w:rsid w:val="00C15170"/>
    <w:rsid w:val="00C15DBF"/>
    <w:rsid w:val="00C15F12"/>
    <w:rsid w:val="00C16840"/>
    <w:rsid w:val="00C1686C"/>
    <w:rsid w:val="00C16F19"/>
    <w:rsid w:val="00C1743C"/>
    <w:rsid w:val="00C17CBC"/>
    <w:rsid w:val="00C17E8E"/>
    <w:rsid w:val="00C20D2D"/>
    <w:rsid w:val="00C21F02"/>
    <w:rsid w:val="00C22201"/>
    <w:rsid w:val="00C22F1F"/>
    <w:rsid w:val="00C231ED"/>
    <w:rsid w:val="00C239B5"/>
    <w:rsid w:val="00C241EB"/>
    <w:rsid w:val="00C25BA2"/>
    <w:rsid w:val="00C26020"/>
    <w:rsid w:val="00C2694B"/>
    <w:rsid w:val="00C26EF5"/>
    <w:rsid w:val="00C27365"/>
    <w:rsid w:val="00C27614"/>
    <w:rsid w:val="00C2768A"/>
    <w:rsid w:val="00C300B6"/>
    <w:rsid w:val="00C30AE7"/>
    <w:rsid w:val="00C30BE7"/>
    <w:rsid w:val="00C30D6B"/>
    <w:rsid w:val="00C31586"/>
    <w:rsid w:val="00C31A83"/>
    <w:rsid w:val="00C33CB6"/>
    <w:rsid w:val="00C33D43"/>
    <w:rsid w:val="00C33E6A"/>
    <w:rsid w:val="00C33E7B"/>
    <w:rsid w:val="00C3435A"/>
    <w:rsid w:val="00C34ED1"/>
    <w:rsid w:val="00C35021"/>
    <w:rsid w:val="00C351A3"/>
    <w:rsid w:val="00C35396"/>
    <w:rsid w:val="00C359F4"/>
    <w:rsid w:val="00C35E17"/>
    <w:rsid w:val="00C36466"/>
    <w:rsid w:val="00C366C0"/>
    <w:rsid w:val="00C367D2"/>
    <w:rsid w:val="00C3786B"/>
    <w:rsid w:val="00C37A55"/>
    <w:rsid w:val="00C37D67"/>
    <w:rsid w:val="00C37FD2"/>
    <w:rsid w:val="00C40CEE"/>
    <w:rsid w:val="00C41437"/>
    <w:rsid w:val="00C414A0"/>
    <w:rsid w:val="00C41ECA"/>
    <w:rsid w:val="00C42679"/>
    <w:rsid w:val="00C432B7"/>
    <w:rsid w:val="00C43A91"/>
    <w:rsid w:val="00C44565"/>
    <w:rsid w:val="00C448DD"/>
    <w:rsid w:val="00C4505E"/>
    <w:rsid w:val="00C456DA"/>
    <w:rsid w:val="00C45740"/>
    <w:rsid w:val="00C46B82"/>
    <w:rsid w:val="00C4710C"/>
    <w:rsid w:val="00C471A8"/>
    <w:rsid w:val="00C47287"/>
    <w:rsid w:val="00C472DC"/>
    <w:rsid w:val="00C47846"/>
    <w:rsid w:val="00C505FB"/>
    <w:rsid w:val="00C508C0"/>
    <w:rsid w:val="00C50C01"/>
    <w:rsid w:val="00C50D23"/>
    <w:rsid w:val="00C50EAD"/>
    <w:rsid w:val="00C511A1"/>
    <w:rsid w:val="00C51512"/>
    <w:rsid w:val="00C51B05"/>
    <w:rsid w:val="00C5295C"/>
    <w:rsid w:val="00C52DDB"/>
    <w:rsid w:val="00C53C69"/>
    <w:rsid w:val="00C53E4A"/>
    <w:rsid w:val="00C540E4"/>
    <w:rsid w:val="00C54ED5"/>
    <w:rsid w:val="00C550AF"/>
    <w:rsid w:val="00C5582E"/>
    <w:rsid w:val="00C55843"/>
    <w:rsid w:val="00C561B1"/>
    <w:rsid w:val="00C5779B"/>
    <w:rsid w:val="00C57B12"/>
    <w:rsid w:val="00C60F52"/>
    <w:rsid w:val="00C61270"/>
    <w:rsid w:val="00C618B4"/>
    <w:rsid w:val="00C61A74"/>
    <w:rsid w:val="00C61A91"/>
    <w:rsid w:val="00C627E9"/>
    <w:rsid w:val="00C62D35"/>
    <w:rsid w:val="00C63000"/>
    <w:rsid w:val="00C6308C"/>
    <w:rsid w:val="00C6383A"/>
    <w:rsid w:val="00C6390F"/>
    <w:rsid w:val="00C645AE"/>
    <w:rsid w:val="00C6486F"/>
    <w:rsid w:val="00C64B85"/>
    <w:rsid w:val="00C64DBA"/>
    <w:rsid w:val="00C65376"/>
    <w:rsid w:val="00C653BF"/>
    <w:rsid w:val="00C660EE"/>
    <w:rsid w:val="00C70323"/>
    <w:rsid w:val="00C7051E"/>
    <w:rsid w:val="00C7090C"/>
    <w:rsid w:val="00C70EC6"/>
    <w:rsid w:val="00C712AE"/>
    <w:rsid w:val="00C7135D"/>
    <w:rsid w:val="00C71593"/>
    <w:rsid w:val="00C72179"/>
    <w:rsid w:val="00C72AD7"/>
    <w:rsid w:val="00C73196"/>
    <w:rsid w:val="00C73886"/>
    <w:rsid w:val="00C7409B"/>
    <w:rsid w:val="00C74A27"/>
    <w:rsid w:val="00C7504E"/>
    <w:rsid w:val="00C75C33"/>
    <w:rsid w:val="00C75DCD"/>
    <w:rsid w:val="00C7613E"/>
    <w:rsid w:val="00C76414"/>
    <w:rsid w:val="00C76D61"/>
    <w:rsid w:val="00C77190"/>
    <w:rsid w:val="00C775D6"/>
    <w:rsid w:val="00C77692"/>
    <w:rsid w:val="00C77F5C"/>
    <w:rsid w:val="00C80263"/>
    <w:rsid w:val="00C804EE"/>
    <w:rsid w:val="00C80B79"/>
    <w:rsid w:val="00C80C66"/>
    <w:rsid w:val="00C80EA0"/>
    <w:rsid w:val="00C81103"/>
    <w:rsid w:val="00C81B64"/>
    <w:rsid w:val="00C81BF0"/>
    <w:rsid w:val="00C82017"/>
    <w:rsid w:val="00C8282E"/>
    <w:rsid w:val="00C82F7C"/>
    <w:rsid w:val="00C83706"/>
    <w:rsid w:val="00C842BB"/>
    <w:rsid w:val="00C84BC1"/>
    <w:rsid w:val="00C84EF2"/>
    <w:rsid w:val="00C85003"/>
    <w:rsid w:val="00C856EF"/>
    <w:rsid w:val="00C85B91"/>
    <w:rsid w:val="00C85C6F"/>
    <w:rsid w:val="00C865C9"/>
    <w:rsid w:val="00C8666F"/>
    <w:rsid w:val="00C87505"/>
    <w:rsid w:val="00C877A8"/>
    <w:rsid w:val="00C87CE2"/>
    <w:rsid w:val="00C900F1"/>
    <w:rsid w:val="00C9045E"/>
    <w:rsid w:val="00C9105D"/>
    <w:rsid w:val="00C914CA"/>
    <w:rsid w:val="00C91AFF"/>
    <w:rsid w:val="00C91EAB"/>
    <w:rsid w:val="00C92F33"/>
    <w:rsid w:val="00C93824"/>
    <w:rsid w:val="00C94266"/>
    <w:rsid w:val="00C9542C"/>
    <w:rsid w:val="00C959CE"/>
    <w:rsid w:val="00C96804"/>
    <w:rsid w:val="00C96D25"/>
    <w:rsid w:val="00C96E45"/>
    <w:rsid w:val="00C97109"/>
    <w:rsid w:val="00C97443"/>
    <w:rsid w:val="00C974F3"/>
    <w:rsid w:val="00CA0B7D"/>
    <w:rsid w:val="00CA0F68"/>
    <w:rsid w:val="00CA129E"/>
    <w:rsid w:val="00CA1567"/>
    <w:rsid w:val="00CA167C"/>
    <w:rsid w:val="00CA1BDF"/>
    <w:rsid w:val="00CA1F0E"/>
    <w:rsid w:val="00CA2267"/>
    <w:rsid w:val="00CA29E5"/>
    <w:rsid w:val="00CA397C"/>
    <w:rsid w:val="00CA3BFD"/>
    <w:rsid w:val="00CA4116"/>
    <w:rsid w:val="00CA454F"/>
    <w:rsid w:val="00CA48D1"/>
    <w:rsid w:val="00CA4A11"/>
    <w:rsid w:val="00CA4D78"/>
    <w:rsid w:val="00CA50D9"/>
    <w:rsid w:val="00CA53EC"/>
    <w:rsid w:val="00CA5625"/>
    <w:rsid w:val="00CA5E43"/>
    <w:rsid w:val="00CA62BE"/>
    <w:rsid w:val="00CA6328"/>
    <w:rsid w:val="00CA652E"/>
    <w:rsid w:val="00CA66C3"/>
    <w:rsid w:val="00CA7BD9"/>
    <w:rsid w:val="00CA7D12"/>
    <w:rsid w:val="00CB00DB"/>
    <w:rsid w:val="00CB28D3"/>
    <w:rsid w:val="00CB3055"/>
    <w:rsid w:val="00CB34EE"/>
    <w:rsid w:val="00CB383B"/>
    <w:rsid w:val="00CB4449"/>
    <w:rsid w:val="00CB4887"/>
    <w:rsid w:val="00CB4930"/>
    <w:rsid w:val="00CB4D85"/>
    <w:rsid w:val="00CB5AAF"/>
    <w:rsid w:val="00CB5BB3"/>
    <w:rsid w:val="00CB5F71"/>
    <w:rsid w:val="00CB6140"/>
    <w:rsid w:val="00CB6209"/>
    <w:rsid w:val="00CB6250"/>
    <w:rsid w:val="00CB69BC"/>
    <w:rsid w:val="00CB6CE2"/>
    <w:rsid w:val="00CB6E05"/>
    <w:rsid w:val="00CB7C77"/>
    <w:rsid w:val="00CC106B"/>
    <w:rsid w:val="00CC14F0"/>
    <w:rsid w:val="00CC1684"/>
    <w:rsid w:val="00CC16DA"/>
    <w:rsid w:val="00CC25B0"/>
    <w:rsid w:val="00CC2B98"/>
    <w:rsid w:val="00CC3AE8"/>
    <w:rsid w:val="00CC3C0F"/>
    <w:rsid w:val="00CC3C81"/>
    <w:rsid w:val="00CC4A4F"/>
    <w:rsid w:val="00CC4E24"/>
    <w:rsid w:val="00CC51C1"/>
    <w:rsid w:val="00CC6562"/>
    <w:rsid w:val="00CC7360"/>
    <w:rsid w:val="00CC7948"/>
    <w:rsid w:val="00CC7AF8"/>
    <w:rsid w:val="00CC7B8E"/>
    <w:rsid w:val="00CD036D"/>
    <w:rsid w:val="00CD0763"/>
    <w:rsid w:val="00CD0877"/>
    <w:rsid w:val="00CD0E89"/>
    <w:rsid w:val="00CD1332"/>
    <w:rsid w:val="00CD17BA"/>
    <w:rsid w:val="00CD18F9"/>
    <w:rsid w:val="00CD21C5"/>
    <w:rsid w:val="00CD227F"/>
    <w:rsid w:val="00CD25C9"/>
    <w:rsid w:val="00CD26DB"/>
    <w:rsid w:val="00CD31F8"/>
    <w:rsid w:val="00CD3572"/>
    <w:rsid w:val="00CD385B"/>
    <w:rsid w:val="00CD3F83"/>
    <w:rsid w:val="00CD460F"/>
    <w:rsid w:val="00CD4995"/>
    <w:rsid w:val="00CD5DFE"/>
    <w:rsid w:val="00CD6033"/>
    <w:rsid w:val="00CD6D9A"/>
    <w:rsid w:val="00CD6E87"/>
    <w:rsid w:val="00CD780F"/>
    <w:rsid w:val="00CD7926"/>
    <w:rsid w:val="00CE0C3C"/>
    <w:rsid w:val="00CE0EBA"/>
    <w:rsid w:val="00CE1018"/>
    <w:rsid w:val="00CE244F"/>
    <w:rsid w:val="00CE257E"/>
    <w:rsid w:val="00CE299C"/>
    <w:rsid w:val="00CE342E"/>
    <w:rsid w:val="00CE3811"/>
    <w:rsid w:val="00CE4913"/>
    <w:rsid w:val="00CE4A0D"/>
    <w:rsid w:val="00CE4AC1"/>
    <w:rsid w:val="00CE566E"/>
    <w:rsid w:val="00CE5716"/>
    <w:rsid w:val="00CE6CBB"/>
    <w:rsid w:val="00CE7093"/>
    <w:rsid w:val="00CE7924"/>
    <w:rsid w:val="00CF0A5A"/>
    <w:rsid w:val="00CF0E71"/>
    <w:rsid w:val="00CF2A50"/>
    <w:rsid w:val="00CF37D1"/>
    <w:rsid w:val="00CF3A4F"/>
    <w:rsid w:val="00CF3D99"/>
    <w:rsid w:val="00CF4DF9"/>
    <w:rsid w:val="00CF546B"/>
    <w:rsid w:val="00CF55EC"/>
    <w:rsid w:val="00CF577A"/>
    <w:rsid w:val="00CF5C07"/>
    <w:rsid w:val="00CF5D6C"/>
    <w:rsid w:val="00CF609E"/>
    <w:rsid w:val="00CF6FED"/>
    <w:rsid w:val="00D00319"/>
    <w:rsid w:val="00D00458"/>
    <w:rsid w:val="00D00C58"/>
    <w:rsid w:val="00D0169B"/>
    <w:rsid w:val="00D01D97"/>
    <w:rsid w:val="00D0210B"/>
    <w:rsid w:val="00D022C6"/>
    <w:rsid w:val="00D02F69"/>
    <w:rsid w:val="00D03823"/>
    <w:rsid w:val="00D03E90"/>
    <w:rsid w:val="00D04A3B"/>
    <w:rsid w:val="00D04AF0"/>
    <w:rsid w:val="00D0500F"/>
    <w:rsid w:val="00D05037"/>
    <w:rsid w:val="00D0525B"/>
    <w:rsid w:val="00D053B3"/>
    <w:rsid w:val="00D060D6"/>
    <w:rsid w:val="00D062F4"/>
    <w:rsid w:val="00D07122"/>
    <w:rsid w:val="00D07B96"/>
    <w:rsid w:val="00D07EFC"/>
    <w:rsid w:val="00D10DF6"/>
    <w:rsid w:val="00D10EFB"/>
    <w:rsid w:val="00D128AF"/>
    <w:rsid w:val="00D12BA5"/>
    <w:rsid w:val="00D130C8"/>
    <w:rsid w:val="00D13408"/>
    <w:rsid w:val="00D13A75"/>
    <w:rsid w:val="00D14821"/>
    <w:rsid w:val="00D15188"/>
    <w:rsid w:val="00D15651"/>
    <w:rsid w:val="00D158FA"/>
    <w:rsid w:val="00D15C06"/>
    <w:rsid w:val="00D1653B"/>
    <w:rsid w:val="00D16B4F"/>
    <w:rsid w:val="00D17A64"/>
    <w:rsid w:val="00D20364"/>
    <w:rsid w:val="00D21565"/>
    <w:rsid w:val="00D21971"/>
    <w:rsid w:val="00D22513"/>
    <w:rsid w:val="00D22D1B"/>
    <w:rsid w:val="00D23496"/>
    <w:rsid w:val="00D2352D"/>
    <w:rsid w:val="00D239D7"/>
    <w:rsid w:val="00D239DE"/>
    <w:rsid w:val="00D23F4F"/>
    <w:rsid w:val="00D24A42"/>
    <w:rsid w:val="00D26240"/>
    <w:rsid w:val="00D26516"/>
    <w:rsid w:val="00D26712"/>
    <w:rsid w:val="00D26D48"/>
    <w:rsid w:val="00D27512"/>
    <w:rsid w:val="00D30A35"/>
    <w:rsid w:val="00D30E5D"/>
    <w:rsid w:val="00D30EA6"/>
    <w:rsid w:val="00D3188D"/>
    <w:rsid w:val="00D31914"/>
    <w:rsid w:val="00D326FB"/>
    <w:rsid w:val="00D32819"/>
    <w:rsid w:val="00D328FB"/>
    <w:rsid w:val="00D32CD6"/>
    <w:rsid w:val="00D32EC7"/>
    <w:rsid w:val="00D32ECD"/>
    <w:rsid w:val="00D33774"/>
    <w:rsid w:val="00D33862"/>
    <w:rsid w:val="00D33DFA"/>
    <w:rsid w:val="00D343F3"/>
    <w:rsid w:val="00D34C31"/>
    <w:rsid w:val="00D375F0"/>
    <w:rsid w:val="00D37A37"/>
    <w:rsid w:val="00D37AEE"/>
    <w:rsid w:val="00D40D1B"/>
    <w:rsid w:val="00D415C5"/>
    <w:rsid w:val="00D41F2D"/>
    <w:rsid w:val="00D42B58"/>
    <w:rsid w:val="00D4325D"/>
    <w:rsid w:val="00D434AA"/>
    <w:rsid w:val="00D44DF8"/>
    <w:rsid w:val="00D45008"/>
    <w:rsid w:val="00D45B8B"/>
    <w:rsid w:val="00D45F9B"/>
    <w:rsid w:val="00D46A09"/>
    <w:rsid w:val="00D46D2B"/>
    <w:rsid w:val="00D47D1D"/>
    <w:rsid w:val="00D504CD"/>
    <w:rsid w:val="00D51358"/>
    <w:rsid w:val="00D51A27"/>
    <w:rsid w:val="00D51E44"/>
    <w:rsid w:val="00D52244"/>
    <w:rsid w:val="00D5298B"/>
    <w:rsid w:val="00D52DAC"/>
    <w:rsid w:val="00D52F80"/>
    <w:rsid w:val="00D53B53"/>
    <w:rsid w:val="00D53E5F"/>
    <w:rsid w:val="00D53F6D"/>
    <w:rsid w:val="00D54A9B"/>
    <w:rsid w:val="00D54E2F"/>
    <w:rsid w:val="00D5672B"/>
    <w:rsid w:val="00D56A82"/>
    <w:rsid w:val="00D5732F"/>
    <w:rsid w:val="00D57BE9"/>
    <w:rsid w:val="00D57CB9"/>
    <w:rsid w:val="00D60270"/>
    <w:rsid w:val="00D6172B"/>
    <w:rsid w:val="00D62047"/>
    <w:rsid w:val="00D62F71"/>
    <w:rsid w:val="00D63343"/>
    <w:rsid w:val="00D6491F"/>
    <w:rsid w:val="00D64E50"/>
    <w:rsid w:val="00D6501B"/>
    <w:rsid w:val="00D6530A"/>
    <w:rsid w:val="00D653B4"/>
    <w:rsid w:val="00D657BE"/>
    <w:rsid w:val="00D65D1B"/>
    <w:rsid w:val="00D666DB"/>
    <w:rsid w:val="00D66EDA"/>
    <w:rsid w:val="00D66F6B"/>
    <w:rsid w:val="00D673D6"/>
    <w:rsid w:val="00D704FB"/>
    <w:rsid w:val="00D7071E"/>
    <w:rsid w:val="00D71220"/>
    <w:rsid w:val="00D7142D"/>
    <w:rsid w:val="00D71896"/>
    <w:rsid w:val="00D7236D"/>
    <w:rsid w:val="00D72521"/>
    <w:rsid w:val="00D72D21"/>
    <w:rsid w:val="00D730AE"/>
    <w:rsid w:val="00D737CE"/>
    <w:rsid w:val="00D73B27"/>
    <w:rsid w:val="00D73DBB"/>
    <w:rsid w:val="00D741F3"/>
    <w:rsid w:val="00D74265"/>
    <w:rsid w:val="00D74950"/>
    <w:rsid w:val="00D74C48"/>
    <w:rsid w:val="00D7506A"/>
    <w:rsid w:val="00D7513C"/>
    <w:rsid w:val="00D754E9"/>
    <w:rsid w:val="00D760B2"/>
    <w:rsid w:val="00D765E6"/>
    <w:rsid w:val="00D7694F"/>
    <w:rsid w:val="00D773F2"/>
    <w:rsid w:val="00D80447"/>
    <w:rsid w:val="00D807C5"/>
    <w:rsid w:val="00D80922"/>
    <w:rsid w:val="00D811FA"/>
    <w:rsid w:val="00D81278"/>
    <w:rsid w:val="00D813D2"/>
    <w:rsid w:val="00D813DB"/>
    <w:rsid w:val="00D81DF0"/>
    <w:rsid w:val="00D81E87"/>
    <w:rsid w:val="00D822D1"/>
    <w:rsid w:val="00D82B3A"/>
    <w:rsid w:val="00D82C02"/>
    <w:rsid w:val="00D8327F"/>
    <w:rsid w:val="00D83290"/>
    <w:rsid w:val="00D832B9"/>
    <w:rsid w:val="00D83B77"/>
    <w:rsid w:val="00D84136"/>
    <w:rsid w:val="00D85AC5"/>
    <w:rsid w:val="00D862EA"/>
    <w:rsid w:val="00D86340"/>
    <w:rsid w:val="00D864BD"/>
    <w:rsid w:val="00D86501"/>
    <w:rsid w:val="00D86ED6"/>
    <w:rsid w:val="00D87BB2"/>
    <w:rsid w:val="00D909C3"/>
    <w:rsid w:val="00D9177A"/>
    <w:rsid w:val="00D9182D"/>
    <w:rsid w:val="00D91E2E"/>
    <w:rsid w:val="00D9232E"/>
    <w:rsid w:val="00D935AF"/>
    <w:rsid w:val="00D93960"/>
    <w:rsid w:val="00D93A9C"/>
    <w:rsid w:val="00D94281"/>
    <w:rsid w:val="00D951E4"/>
    <w:rsid w:val="00D95CED"/>
    <w:rsid w:val="00D95D90"/>
    <w:rsid w:val="00D95F99"/>
    <w:rsid w:val="00D96F44"/>
    <w:rsid w:val="00D975EA"/>
    <w:rsid w:val="00D97879"/>
    <w:rsid w:val="00DA012A"/>
    <w:rsid w:val="00DA04DB"/>
    <w:rsid w:val="00DA07A5"/>
    <w:rsid w:val="00DA0F38"/>
    <w:rsid w:val="00DA14BE"/>
    <w:rsid w:val="00DA1FE0"/>
    <w:rsid w:val="00DA2A50"/>
    <w:rsid w:val="00DA2EC3"/>
    <w:rsid w:val="00DA311F"/>
    <w:rsid w:val="00DA331C"/>
    <w:rsid w:val="00DA3486"/>
    <w:rsid w:val="00DA430A"/>
    <w:rsid w:val="00DA447C"/>
    <w:rsid w:val="00DA48D9"/>
    <w:rsid w:val="00DA49A5"/>
    <w:rsid w:val="00DA4C48"/>
    <w:rsid w:val="00DA547F"/>
    <w:rsid w:val="00DA59B4"/>
    <w:rsid w:val="00DA5FCB"/>
    <w:rsid w:val="00DA6486"/>
    <w:rsid w:val="00DA6A06"/>
    <w:rsid w:val="00DA6B4A"/>
    <w:rsid w:val="00DA78A8"/>
    <w:rsid w:val="00DB0395"/>
    <w:rsid w:val="00DB09CE"/>
    <w:rsid w:val="00DB13E1"/>
    <w:rsid w:val="00DB1E6D"/>
    <w:rsid w:val="00DB3004"/>
    <w:rsid w:val="00DB30B6"/>
    <w:rsid w:val="00DB325B"/>
    <w:rsid w:val="00DB390F"/>
    <w:rsid w:val="00DB4330"/>
    <w:rsid w:val="00DB449A"/>
    <w:rsid w:val="00DB48AF"/>
    <w:rsid w:val="00DB4F51"/>
    <w:rsid w:val="00DB571C"/>
    <w:rsid w:val="00DB5D3F"/>
    <w:rsid w:val="00DB620A"/>
    <w:rsid w:val="00DB6220"/>
    <w:rsid w:val="00DB6587"/>
    <w:rsid w:val="00DB66DE"/>
    <w:rsid w:val="00DB6FE8"/>
    <w:rsid w:val="00DB7CF1"/>
    <w:rsid w:val="00DC02AC"/>
    <w:rsid w:val="00DC042A"/>
    <w:rsid w:val="00DC097E"/>
    <w:rsid w:val="00DC1481"/>
    <w:rsid w:val="00DC1E1F"/>
    <w:rsid w:val="00DC2191"/>
    <w:rsid w:val="00DC23DB"/>
    <w:rsid w:val="00DC31BE"/>
    <w:rsid w:val="00DC326D"/>
    <w:rsid w:val="00DC3FD9"/>
    <w:rsid w:val="00DC4AB1"/>
    <w:rsid w:val="00DC559C"/>
    <w:rsid w:val="00DC5D6F"/>
    <w:rsid w:val="00DC671E"/>
    <w:rsid w:val="00DC684D"/>
    <w:rsid w:val="00DC70E7"/>
    <w:rsid w:val="00DC7BDF"/>
    <w:rsid w:val="00DC7DA0"/>
    <w:rsid w:val="00DD1395"/>
    <w:rsid w:val="00DD2732"/>
    <w:rsid w:val="00DD33C1"/>
    <w:rsid w:val="00DD3513"/>
    <w:rsid w:val="00DD37DA"/>
    <w:rsid w:val="00DD3FDC"/>
    <w:rsid w:val="00DD4AAB"/>
    <w:rsid w:val="00DD4AFB"/>
    <w:rsid w:val="00DD5B4F"/>
    <w:rsid w:val="00DD5CAA"/>
    <w:rsid w:val="00DD6E33"/>
    <w:rsid w:val="00DD721E"/>
    <w:rsid w:val="00DD78E3"/>
    <w:rsid w:val="00DE088F"/>
    <w:rsid w:val="00DE0D56"/>
    <w:rsid w:val="00DE17F9"/>
    <w:rsid w:val="00DE1DDC"/>
    <w:rsid w:val="00DE1E4D"/>
    <w:rsid w:val="00DE1E62"/>
    <w:rsid w:val="00DE256E"/>
    <w:rsid w:val="00DE2941"/>
    <w:rsid w:val="00DE2E61"/>
    <w:rsid w:val="00DE41E3"/>
    <w:rsid w:val="00DE43F4"/>
    <w:rsid w:val="00DE53C1"/>
    <w:rsid w:val="00DE5D07"/>
    <w:rsid w:val="00DE5DB4"/>
    <w:rsid w:val="00DE5FD7"/>
    <w:rsid w:val="00DE602D"/>
    <w:rsid w:val="00DE68D8"/>
    <w:rsid w:val="00DE6CF2"/>
    <w:rsid w:val="00DE6DB1"/>
    <w:rsid w:val="00DE6DC4"/>
    <w:rsid w:val="00DE7BC4"/>
    <w:rsid w:val="00DF08A6"/>
    <w:rsid w:val="00DF1662"/>
    <w:rsid w:val="00DF18B5"/>
    <w:rsid w:val="00DF1D20"/>
    <w:rsid w:val="00DF2913"/>
    <w:rsid w:val="00DF2E1C"/>
    <w:rsid w:val="00DF31FF"/>
    <w:rsid w:val="00DF3820"/>
    <w:rsid w:val="00DF3D5D"/>
    <w:rsid w:val="00DF3FF1"/>
    <w:rsid w:val="00DF4793"/>
    <w:rsid w:val="00DF53A6"/>
    <w:rsid w:val="00DF54B6"/>
    <w:rsid w:val="00DF6264"/>
    <w:rsid w:val="00E000B0"/>
    <w:rsid w:val="00E00CDC"/>
    <w:rsid w:val="00E00E16"/>
    <w:rsid w:val="00E0153C"/>
    <w:rsid w:val="00E01815"/>
    <w:rsid w:val="00E01B59"/>
    <w:rsid w:val="00E02AAC"/>
    <w:rsid w:val="00E02C2F"/>
    <w:rsid w:val="00E03C01"/>
    <w:rsid w:val="00E03F54"/>
    <w:rsid w:val="00E04BE7"/>
    <w:rsid w:val="00E04F01"/>
    <w:rsid w:val="00E051DE"/>
    <w:rsid w:val="00E0553E"/>
    <w:rsid w:val="00E05701"/>
    <w:rsid w:val="00E059D7"/>
    <w:rsid w:val="00E05A74"/>
    <w:rsid w:val="00E05FC3"/>
    <w:rsid w:val="00E06515"/>
    <w:rsid w:val="00E06EB2"/>
    <w:rsid w:val="00E0744D"/>
    <w:rsid w:val="00E1020D"/>
    <w:rsid w:val="00E10CEC"/>
    <w:rsid w:val="00E11870"/>
    <w:rsid w:val="00E11D06"/>
    <w:rsid w:val="00E11F5F"/>
    <w:rsid w:val="00E12846"/>
    <w:rsid w:val="00E1394C"/>
    <w:rsid w:val="00E13AAA"/>
    <w:rsid w:val="00E140FF"/>
    <w:rsid w:val="00E1429F"/>
    <w:rsid w:val="00E144E4"/>
    <w:rsid w:val="00E14507"/>
    <w:rsid w:val="00E14D9B"/>
    <w:rsid w:val="00E15572"/>
    <w:rsid w:val="00E16169"/>
    <w:rsid w:val="00E168C4"/>
    <w:rsid w:val="00E1699B"/>
    <w:rsid w:val="00E17066"/>
    <w:rsid w:val="00E17468"/>
    <w:rsid w:val="00E17952"/>
    <w:rsid w:val="00E17AB0"/>
    <w:rsid w:val="00E20BFB"/>
    <w:rsid w:val="00E210C5"/>
    <w:rsid w:val="00E217E6"/>
    <w:rsid w:val="00E22266"/>
    <w:rsid w:val="00E22D43"/>
    <w:rsid w:val="00E22D98"/>
    <w:rsid w:val="00E23E3D"/>
    <w:rsid w:val="00E23F7D"/>
    <w:rsid w:val="00E2421D"/>
    <w:rsid w:val="00E24C81"/>
    <w:rsid w:val="00E253B6"/>
    <w:rsid w:val="00E25C42"/>
    <w:rsid w:val="00E27AFF"/>
    <w:rsid w:val="00E30205"/>
    <w:rsid w:val="00E30974"/>
    <w:rsid w:val="00E31751"/>
    <w:rsid w:val="00E318ED"/>
    <w:rsid w:val="00E31E4C"/>
    <w:rsid w:val="00E31F27"/>
    <w:rsid w:val="00E32FFD"/>
    <w:rsid w:val="00E33703"/>
    <w:rsid w:val="00E33C37"/>
    <w:rsid w:val="00E34210"/>
    <w:rsid w:val="00E3445A"/>
    <w:rsid w:val="00E347EA"/>
    <w:rsid w:val="00E35BA8"/>
    <w:rsid w:val="00E3619F"/>
    <w:rsid w:val="00E36793"/>
    <w:rsid w:val="00E36D96"/>
    <w:rsid w:val="00E371D1"/>
    <w:rsid w:val="00E37D37"/>
    <w:rsid w:val="00E37E40"/>
    <w:rsid w:val="00E409FD"/>
    <w:rsid w:val="00E40A39"/>
    <w:rsid w:val="00E40E32"/>
    <w:rsid w:val="00E4110E"/>
    <w:rsid w:val="00E41562"/>
    <w:rsid w:val="00E41E41"/>
    <w:rsid w:val="00E427C2"/>
    <w:rsid w:val="00E428E3"/>
    <w:rsid w:val="00E4395C"/>
    <w:rsid w:val="00E44079"/>
    <w:rsid w:val="00E44C4C"/>
    <w:rsid w:val="00E44D6C"/>
    <w:rsid w:val="00E44E32"/>
    <w:rsid w:val="00E451B6"/>
    <w:rsid w:val="00E45810"/>
    <w:rsid w:val="00E45821"/>
    <w:rsid w:val="00E46070"/>
    <w:rsid w:val="00E46180"/>
    <w:rsid w:val="00E46A70"/>
    <w:rsid w:val="00E47220"/>
    <w:rsid w:val="00E473BD"/>
    <w:rsid w:val="00E4799F"/>
    <w:rsid w:val="00E50126"/>
    <w:rsid w:val="00E50432"/>
    <w:rsid w:val="00E50F04"/>
    <w:rsid w:val="00E52E98"/>
    <w:rsid w:val="00E54E12"/>
    <w:rsid w:val="00E54FB8"/>
    <w:rsid w:val="00E5694A"/>
    <w:rsid w:val="00E56A1F"/>
    <w:rsid w:val="00E572DE"/>
    <w:rsid w:val="00E5763C"/>
    <w:rsid w:val="00E5767D"/>
    <w:rsid w:val="00E600F2"/>
    <w:rsid w:val="00E6019E"/>
    <w:rsid w:val="00E605FA"/>
    <w:rsid w:val="00E60C5B"/>
    <w:rsid w:val="00E61411"/>
    <w:rsid w:val="00E61541"/>
    <w:rsid w:val="00E62C99"/>
    <w:rsid w:val="00E63556"/>
    <w:rsid w:val="00E63B6F"/>
    <w:rsid w:val="00E64182"/>
    <w:rsid w:val="00E648DD"/>
    <w:rsid w:val="00E64E10"/>
    <w:rsid w:val="00E66474"/>
    <w:rsid w:val="00E665AC"/>
    <w:rsid w:val="00E66AEC"/>
    <w:rsid w:val="00E66D61"/>
    <w:rsid w:val="00E67777"/>
    <w:rsid w:val="00E67FD7"/>
    <w:rsid w:val="00E70288"/>
    <w:rsid w:val="00E70590"/>
    <w:rsid w:val="00E70F2D"/>
    <w:rsid w:val="00E71DD1"/>
    <w:rsid w:val="00E72036"/>
    <w:rsid w:val="00E72039"/>
    <w:rsid w:val="00E72BD3"/>
    <w:rsid w:val="00E73022"/>
    <w:rsid w:val="00E731EB"/>
    <w:rsid w:val="00E733DD"/>
    <w:rsid w:val="00E739EC"/>
    <w:rsid w:val="00E73D42"/>
    <w:rsid w:val="00E73F94"/>
    <w:rsid w:val="00E7410B"/>
    <w:rsid w:val="00E7535F"/>
    <w:rsid w:val="00E760EA"/>
    <w:rsid w:val="00E762C2"/>
    <w:rsid w:val="00E7695C"/>
    <w:rsid w:val="00E76A62"/>
    <w:rsid w:val="00E76DFF"/>
    <w:rsid w:val="00E77971"/>
    <w:rsid w:val="00E80F1B"/>
    <w:rsid w:val="00E81599"/>
    <w:rsid w:val="00E828FB"/>
    <w:rsid w:val="00E82FEA"/>
    <w:rsid w:val="00E835C3"/>
    <w:rsid w:val="00E84AF0"/>
    <w:rsid w:val="00E84BD3"/>
    <w:rsid w:val="00E85385"/>
    <w:rsid w:val="00E854C1"/>
    <w:rsid w:val="00E8715A"/>
    <w:rsid w:val="00E8793B"/>
    <w:rsid w:val="00E90089"/>
    <w:rsid w:val="00E903CF"/>
    <w:rsid w:val="00E91468"/>
    <w:rsid w:val="00E914AF"/>
    <w:rsid w:val="00E9321F"/>
    <w:rsid w:val="00E9344D"/>
    <w:rsid w:val="00E934E5"/>
    <w:rsid w:val="00E94254"/>
    <w:rsid w:val="00E94370"/>
    <w:rsid w:val="00E945AD"/>
    <w:rsid w:val="00E95064"/>
    <w:rsid w:val="00E9514E"/>
    <w:rsid w:val="00E95366"/>
    <w:rsid w:val="00E95731"/>
    <w:rsid w:val="00E96553"/>
    <w:rsid w:val="00E96B03"/>
    <w:rsid w:val="00E97395"/>
    <w:rsid w:val="00E97F80"/>
    <w:rsid w:val="00EA02DD"/>
    <w:rsid w:val="00EA0373"/>
    <w:rsid w:val="00EA07C2"/>
    <w:rsid w:val="00EA129F"/>
    <w:rsid w:val="00EA143F"/>
    <w:rsid w:val="00EA194A"/>
    <w:rsid w:val="00EA1CA7"/>
    <w:rsid w:val="00EA27A8"/>
    <w:rsid w:val="00EA37A9"/>
    <w:rsid w:val="00EA45D3"/>
    <w:rsid w:val="00EA4ED7"/>
    <w:rsid w:val="00EA56FF"/>
    <w:rsid w:val="00EA5704"/>
    <w:rsid w:val="00EA60D6"/>
    <w:rsid w:val="00EA60FB"/>
    <w:rsid w:val="00EA64E7"/>
    <w:rsid w:val="00EA7060"/>
    <w:rsid w:val="00EA74A4"/>
    <w:rsid w:val="00EA75AE"/>
    <w:rsid w:val="00EB01FB"/>
    <w:rsid w:val="00EB03E7"/>
    <w:rsid w:val="00EB0789"/>
    <w:rsid w:val="00EB09F4"/>
    <w:rsid w:val="00EB0FF5"/>
    <w:rsid w:val="00EB18F4"/>
    <w:rsid w:val="00EB2BED"/>
    <w:rsid w:val="00EB2E6B"/>
    <w:rsid w:val="00EB41CA"/>
    <w:rsid w:val="00EB42DA"/>
    <w:rsid w:val="00EB4974"/>
    <w:rsid w:val="00EB5C79"/>
    <w:rsid w:val="00EB623D"/>
    <w:rsid w:val="00EB654D"/>
    <w:rsid w:val="00EB6E38"/>
    <w:rsid w:val="00EB75FB"/>
    <w:rsid w:val="00EB7B2B"/>
    <w:rsid w:val="00EC0902"/>
    <w:rsid w:val="00EC1A3E"/>
    <w:rsid w:val="00EC1E4D"/>
    <w:rsid w:val="00EC1F22"/>
    <w:rsid w:val="00EC1F5D"/>
    <w:rsid w:val="00EC2562"/>
    <w:rsid w:val="00EC29C1"/>
    <w:rsid w:val="00EC2F7F"/>
    <w:rsid w:val="00EC30AC"/>
    <w:rsid w:val="00EC37B3"/>
    <w:rsid w:val="00EC39AE"/>
    <w:rsid w:val="00EC39CA"/>
    <w:rsid w:val="00EC49B0"/>
    <w:rsid w:val="00EC50E8"/>
    <w:rsid w:val="00EC5EF2"/>
    <w:rsid w:val="00EC624F"/>
    <w:rsid w:val="00EC666B"/>
    <w:rsid w:val="00EC686E"/>
    <w:rsid w:val="00EC6A7A"/>
    <w:rsid w:val="00EC7C82"/>
    <w:rsid w:val="00EC7FCC"/>
    <w:rsid w:val="00ED1031"/>
    <w:rsid w:val="00ED1221"/>
    <w:rsid w:val="00ED14CB"/>
    <w:rsid w:val="00ED19F5"/>
    <w:rsid w:val="00ED1A07"/>
    <w:rsid w:val="00ED1C64"/>
    <w:rsid w:val="00ED2A81"/>
    <w:rsid w:val="00ED2A88"/>
    <w:rsid w:val="00ED2B11"/>
    <w:rsid w:val="00ED380C"/>
    <w:rsid w:val="00ED3821"/>
    <w:rsid w:val="00ED3E59"/>
    <w:rsid w:val="00ED3F4C"/>
    <w:rsid w:val="00ED47B8"/>
    <w:rsid w:val="00ED48B8"/>
    <w:rsid w:val="00ED4EC6"/>
    <w:rsid w:val="00ED564F"/>
    <w:rsid w:val="00ED5AC1"/>
    <w:rsid w:val="00ED6BA8"/>
    <w:rsid w:val="00ED6D08"/>
    <w:rsid w:val="00ED6EAB"/>
    <w:rsid w:val="00ED6F93"/>
    <w:rsid w:val="00ED7E23"/>
    <w:rsid w:val="00EE036A"/>
    <w:rsid w:val="00EE0428"/>
    <w:rsid w:val="00EE047D"/>
    <w:rsid w:val="00EE06C0"/>
    <w:rsid w:val="00EE0ED4"/>
    <w:rsid w:val="00EE186D"/>
    <w:rsid w:val="00EE1BC8"/>
    <w:rsid w:val="00EE1F33"/>
    <w:rsid w:val="00EE2A94"/>
    <w:rsid w:val="00EE325C"/>
    <w:rsid w:val="00EE3A49"/>
    <w:rsid w:val="00EE3D54"/>
    <w:rsid w:val="00EE3E19"/>
    <w:rsid w:val="00EE523B"/>
    <w:rsid w:val="00EE5E11"/>
    <w:rsid w:val="00EE5F8D"/>
    <w:rsid w:val="00EE5FF9"/>
    <w:rsid w:val="00EE6903"/>
    <w:rsid w:val="00EE6DE7"/>
    <w:rsid w:val="00EE74E3"/>
    <w:rsid w:val="00EE760B"/>
    <w:rsid w:val="00EE7757"/>
    <w:rsid w:val="00EE77FE"/>
    <w:rsid w:val="00EE7F39"/>
    <w:rsid w:val="00EF06A9"/>
    <w:rsid w:val="00EF095C"/>
    <w:rsid w:val="00EF0CE7"/>
    <w:rsid w:val="00EF149D"/>
    <w:rsid w:val="00EF1A67"/>
    <w:rsid w:val="00EF1BA6"/>
    <w:rsid w:val="00EF1EC1"/>
    <w:rsid w:val="00EF2903"/>
    <w:rsid w:val="00EF2B8D"/>
    <w:rsid w:val="00EF2F5C"/>
    <w:rsid w:val="00EF348D"/>
    <w:rsid w:val="00EF34DF"/>
    <w:rsid w:val="00EF3882"/>
    <w:rsid w:val="00EF3CE0"/>
    <w:rsid w:val="00EF4189"/>
    <w:rsid w:val="00EF4D6C"/>
    <w:rsid w:val="00EF5095"/>
    <w:rsid w:val="00EF5DFD"/>
    <w:rsid w:val="00EF6889"/>
    <w:rsid w:val="00EF6AC0"/>
    <w:rsid w:val="00EF6D92"/>
    <w:rsid w:val="00EF763C"/>
    <w:rsid w:val="00EF7D02"/>
    <w:rsid w:val="00EF7EE6"/>
    <w:rsid w:val="00F00836"/>
    <w:rsid w:val="00F00C8F"/>
    <w:rsid w:val="00F01253"/>
    <w:rsid w:val="00F012C3"/>
    <w:rsid w:val="00F01C89"/>
    <w:rsid w:val="00F02464"/>
    <w:rsid w:val="00F0248E"/>
    <w:rsid w:val="00F04279"/>
    <w:rsid w:val="00F049A3"/>
    <w:rsid w:val="00F04D71"/>
    <w:rsid w:val="00F059EB"/>
    <w:rsid w:val="00F05EC4"/>
    <w:rsid w:val="00F064BD"/>
    <w:rsid w:val="00F06562"/>
    <w:rsid w:val="00F067E8"/>
    <w:rsid w:val="00F067F8"/>
    <w:rsid w:val="00F076D5"/>
    <w:rsid w:val="00F079D8"/>
    <w:rsid w:val="00F07D18"/>
    <w:rsid w:val="00F1154E"/>
    <w:rsid w:val="00F12350"/>
    <w:rsid w:val="00F1249C"/>
    <w:rsid w:val="00F13854"/>
    <w:rsid w:val="00F13DCA"/>
    <w:rsid w:val="00F1487C"/>
    <w:rsid w:val="00F14974"/>
    <w:rsid w:val="00F14AB2"/>
    <w:rsid w:val="00F14AEF"/>
    <w:rsid w:val="00F14FAE"/>
    <w:rsid w:val="00F1509E"/>
    <w:rsid w:val="00F15761"/>
    <w:rsid w:val="00F15788"/>
    <w:rsid w:val="00F15AB0"/>
    <w:rsid w:val="00F1781A"/>
    <w:rsid w:val="00F17FA1"/>
    <w:rsid w:val="00F20383"/>
    <w:rsid w:val="00F207F4"/>
    <w:rsid w:val="00F2080A"/>
    <w:rsid w:val="00F20F9A"/>
    <w:rsid w:val="00F210DB"/>
    <w:rsid w:val="00F2121D"/>
    <w:rsid w:val="00F21540"/>
    <w:rsid w:val="00F21EBF"/>
    <w:rsid w:val="00F22D25"/>
    <w:rsid w:val="00F24349"/>
    <w:rsid w:val="00F243D7"/>
    <w:rsid w:val="00F25327"/>
    <w:rsid w:val="00F25346"/>
    <w:rsid w:val="00F253C7"/>
    <w:rsid w:val="00F2575C"/>
    <w:rsid w:val="00F26D46"/>
    <w:rsid w:val="00F277FB"/>
    <w:rsid w:val="00F30091"/>
    <w:rsid w:val="00F302D4"/>
    <w:rsid w:val="00F30403"/>
    <w:rsid w:val="00F30916"/>
    <w:rsid w:val="00F31389"/>
    <w:rsid w:val="00F31892"/>
    <w:rsid w:val="00F31CBD"/>
    <w:rsid w:val="00F31D13"/>
    <w:rsid w:val="00F32200"/>
    <w:rsid w:val="00F32483"/>
    <w:rsid w:val="00F33501"/>
    <w:rsid w:val="00F34289"/>
    <w:rsid w:val="00F35323"/>
    <w:rsid w:val="00F35331"/>
    <w:rsid w:val="00F35426"/>
    <w:rsid w:val="00F36209"/>
    <w:rsid w:val="00F3634D"/>
    <w:rsid w:val="00F36DCA"/>
    <w:rsid w:val="00F37909"/>
    <w:rsid w:val="00F41337"/>
    <w:rsid w:val="00F422B4"/>
    <w:rsid w:val="00F4274A"/>
    <w:rsid w:val="00F427EC"/>
    <w:rsid w:val="00F4283F"/>
    <w:rsid w:val="00F42BFA"/>
    <w:rsid w:val="00F430C2"/>
    <w:rsid w:val="00F44728"/>
    <w:rsid w:val="00F44856"/>
    <w:rsid w:val="00F44CEF"/>
    <w:rsid w:val="00F44E89"/>
    <w:rsid w:val="00F457D1"/>
    <w:rsid w:val="00F47AF6"/>
    <w:rsid w:val="00F506B1"/>
    <w:rsid w:val="00F5081E"/>
    <w:rsid w:val="00F50837"/>
    <w:rsid w:val="00F50C40"/>
    <w:rsid w:val="00F50C6E"/>
    <w:rsid w:val="00F529E7"/>
    <w:rsid w:val="00F52A57"/>
    <w:rsid w:val="00F533A2"/>
    <w:rsid w:val="00F538CB"/>
    <w:rsid w:val="00F53A87"/>
    <w:rsid w:val="00F53DAD"/>
    <w:rsid w:val="00F54592"/>
    <w:rsid w:val="00F55911"/>
    <w:rsid w:val="00F55F0F"/>
    <w:rsid w:val="00F55F3D"/>
    <w:rsid w:val="00F568EC"/>
    <w:rsid w:val="00F57652"/>
    <w:rsid w:val="00F57705"/>
    <w:rsid w:val="00F57CC0"/>
    <w:rsid w:val="00F613F8"/>
    <w:rsid w:val="00F61A57"/>
    <w:rsid w:val="00F61EEE"/>
    <w:rsid w:val="00F61F09"/>
    <w:rsid w:val="00F62A9E"/>
    <w:rsid w:val="00F62D58"/>
    <w:rsid w:val="00F62F58"/>
    <w:rsid w:val="00F6314D"/>
    <w:rsid w:val="00F63447"/>
    <w:rsid w:val="00F6386F"/>
    <w:rsid w:val="00F6396F"/>
    <w:rsid w:val="00F63C45"/>
    <w:rsid w:val="00F6423A"/>
    <w:rsid w:val="00F646FE"/>
    <w:rsid w:val="00F647F0"/>
    <w:rsid w:val="00F65810"/>
    <w:rsid w:val="00F65915"/>
    <w:rsid w:val="00F65DB2"/>
    <w:rsid w:val="00F65F1E"/>
    <w:rsid w:val="00F66B91"/>
    <w:rsid w:val="00F67CFF"/>
    <w:rsid w:val="00F7030D"/>
    <w:rsid w:val="00F70E32"/>
    <w:rsid w:val="00F71F57"/>
    <w:rsid w:val="00F72530"/>
    <w:rsid w:val="00F72873"/>
    <w:rsid w:val="00F72C43"/>
    <w:rsid w:val="00F734CF"/>
    <w:rsid w:val="00F73AF5"/>
    <w:rsid w:val="00F74B02"/>
    <w:rsid w:val="00F74F5E"/>
    <w:rsid w:val="00F75B2E"/>
    <w:rsid w:val="00F7660B"/>
    <w:rsid w:val="00F76A84"/>
    <w:rsid w:val="00F76C7E"/>
    <w:rsid w:val="00F76D19"/>
    <w:rsid w:val="00F77890"/>
    <w:rsid w:val="00F77C95"/>
    <w:rsid w:val="00F800EB"/>
    <w:rsid w:val="00F80234"/>
    <w:rsid w:val="00F80BE8"/>
    <w:rsid w:val="00F80C38"/>
    <w:rsid w:val="00F80D9B"/>
    <w:rsid w:val="00F81385"/>
    <w:rsid w:val="00F826E4"/>
    <w:rsid w:val="00F8294C"/>
    <w:rsid w:val="00F82EB3"/>
    <w:rsid w:val="00F83611"/>
    <w:rsid w:val="00F83982"/>
    <w:rsid w:val="00F83C82"/>
    <w:rsid w:val="00F8443F"/>
    <w:rsid w:val="00F84769"/>
    <w:rsid w:val="00F856D0"/>
    <w:rsid w:val="00F85A91"/>
    <w:rsid w:val="00F85B6F"/>
    <w:rsid w:val="00F85DDE"/>
    <w:rsid w:val="00F863F9"/>
    <w:rsid w:val="00F867B1"/>
    <w:rsid w:val="00F86F6D"/>
    <w:rsid w:val="00F879F2"/>
    <w:rsid w:val="00F905B3"/>
    <w:rsid w:val="00F90749"/>
    <w:rsid w:val="00F9097B"/>
    <w:rsid w:val="00F90F0C"/>
    <w:rsid w:val="00F91301"/>
    <w:rsid w:val="00F91359"/>
    <w:rsid w:val="00F91386"/>
    <w:rsid w:val="00F91420"/>
    <w:rsid w:val="00F91E08"/>
    <w:rsid w:val="00F930F4"/>
    <w:rsid w:val="00F93C70"/>
    <w:rsid w:val="00F93E07"/>
    <w:rsid w:val="00F941A5"/>
    <w:rsid w:val="00F95597"/>
    <w:rsid w:val="00F959A0"/>
    <w:rsid w:val="00F95A31"/>
    <w:rsid w:val="00F95C63"/>
    <w:rsid w:val="00F96028"/>
    <w:rsid w:val="00F960F4"/>
    <w:rsid w:val="00F96A8A"/>
    <w:rsid w:val="00F973BE"/>
    <w:rsid w:val="00F97848"/>
    <w:rsid w:val="00F97A13"/>
    <w:rsid w:val="00FA0B99"/>
    <w:rsid w:val="00FA0E73"/>
    <w:rsid w:val="00FA1695"/>
    <w:rsid w:val="00FA2380"/>
    <w:rsid w:val="00FA2EB9"/>
    <w:rsid w:val="00FA2EC3"/>
    <w:rsid w:val="00FA3026"/>
    <w:rsid w:val="00FA3171"/>
    <w:rsid w:val="00FA38FD"/>
    <w:rsid w:val="00FA48FC"/>
    <w:rsid w:val="00FA4CCB"/>
    <w:rsid w:val="00FA4E36"/>
    <w:rsid w:val="00FA53B1"/>
    <w:rsid w:val="00FA5C6E"/>
    <w:rsid w:val="00FA5EE6"/>
    <w:rsid w:val="00FA6C8F"/>
    <w:rsid w:val="00FA6CC7"/>
    <w:rsid w:val="00FA74F3"/>
    <w:rsid w:val="00FB0A65"/>
    <w:rsid w:val="00FB0C66"/>
    <w:rsid w:val="00FB0F15"/>
    <w:rsid w:val="00FB20F0"/>
    <w:rsid w:val="00FB2144"/>
    <w:rsid w:val="00FB23B0"/>
    <w:rsid w:val="00FB3130"/>
    <w:rsid w:val="00FB42E8"/>
    <w:rsid w:val="00FB49C5"/>
    <w:rsid w:val="00FB4DEC"/>
    <w:rsid w:val="00FB5E32"/>
    <w:rsid w:val="00FB6018"/>
    <w:rsid w:val="00FB6AA4"/>
    <w:rsid w:val="00FB6D4A"/>
    <w:rsid w:val="00FB721F"/>
    <w:rsid w:val="00FB78C7"/>
    <w:rsid w:val="00FB7AB4"/>
    <w:rsid w:val="00FC002D"/>
    <w:rsid w:val="00FC08BA"/>
    <w:rsid w:val="00FC0AB6"/>
    <w:rsid w:val="00FC12CC"/>
    <w:rsid w:val="00FC13ED"/>
    <w:rsid w:val="00FC1B60"/>
    <w:rsid w:val="00FC2B36"/>
    <w:rsid w:val="00FC39DF"/>
    <w:rsid w:val="00FC3CF5"/>
    <w:rsid w:val="00FC51E8"/>
    <w:rsid w:val="00FC5216"/>
    <w:rsid w:val="00FC54B6"/>
    <w:rsid w:val="00FC6F18"/>
    <w:rsid w:val="00FC7135"/>
    <w:rsid w:val="00FD182C"/>
    <w:rsid w:val="00FD2891"/>
    <w:rsid w:val="00FD41F7"/>
    <w:rsid w:val="00FD472B"/>
    <w:rsid w:val="00FD4E07"/>
    <w:rsid w:val="00FD508D"/>
    <w:rsid w:val="00FD5B64"/>
    <w:rsid w:val="00FD677D"/>
    <w:rsid w:val="00FD6B70"/>
    <w:rsid w:val="00FD6FE1"/>
    <w:rsid w:val="00FD7944"/>
    <w:rsid w:val="00FE0037"/>
    <w:rsid w:val="00FE004B"/>
    <w:rsid w:val="00FE076A"/>
    <w:rsid w:val="00FE0E87"/>
    <w:rsid w:val="00FE110F"/>
    <w:rsid w:val="00FE12AF"/>
    <w:rsid w:val="00FE168A"/>
    <w:rsid w:val="00FE1A0F"/>
    <w:rsid w:val="00FE3280"/>
    <w:rsid w:val="00FE3BDC"/>
    <w:rsid w:val="00FE40A2"/>
    <w:rsid w:val="00FE40EF"/>
    <w:rsid w:val="00FE426C"/>
    <w:rsid w:val="00FE4899"/>
    <w:rsid w:val="00FE5081"/>
    <w:rsid w:val="00FE52B5"/>
    <w:rsid w:val="00FE5E9A"/>
    <w:rsid w:val="00FE5FDF"/>
    <w:rsid w:val="00FE61B1"/>
    <w:rsid w:val="00FE6887"/>
    <w:rsid w:val="00FE6E99"/>
    <w:rsid w:val="00FE7135"/>
    <w:rsid w:val="00FE7748"/>
    <w:rsid w:val="00FE7824"/>
    <w:rsid w:val="00FE79E2"/>
    <w:rsid w:val="00FF15B0"/>
    <w:rsid w:val="00FF2461"/>
    <w:rsid w:val="00FF2595"/>
    <w:rsid w:val="00FF27CD"/>
    <w:rsid w:val="00FF3FB1"/>
    <w:rsid w:val="00FF496F"/>
    <w:rsid w:val="00FF512D"/>
    <w:rsid w:val="00FF57B2"/>
    <w:rsid w:val="00FF5E58"/>
    <w:rsid w:val="00FF62C9"/>
    <w:rsid w:val="00FF6704"/>
    <w:rsid w:val="00FF6780"/>
    <w:rsid w:val="00FF7091"/>
    <w:rsid w:val="00FF70A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8BD0CF2"/>
  <w15:chartTrackingRefBased/>
  <w15:docId w15:val="{12F912EB-9835-4E63-B80D-B0071384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2880"/>
  </w:style>
  <w:style w:type="paragraph" w:styleId="Nadpis1">
    <w:name w:val="heading 1"/>
    <w:basedOn w:val="Normln"/>
    <w:next w:val="Normln"/>
    <w:link w:val="Nadpis1Char"/>
    <w:uiPriority w:val="9"/>
    <w:qFormat/>
    <w:rsid w:val="00911445"/>
    <w:pPr>
      <w:keepNext/>
      <w:numPr>
        <w:numId w:val="1"/>
      </w:numPr>
      <w:overflowPunct w:val="0"/>
      <w:autoSpaceDE w:val="0"/>
      <w:autoSpaceDN w:val="0"/>
      <w:adjustRightInd w:val="0"/>
      <w:spacing w:before="480" w:after="120" w:line="240" w:lineRule="auto"/>
      <w:jc w:val="center"/>
      <w:textAlignment w:val="baseline"/>
      <w:outlineLvl w:val="0"/>
    </w:pPr>
    <w:rPr>
      <w:rFonts w:eastAsia="Times New Roman" w:cstheme="minorHAnsi"/>
      <w:b/>
      <w:color w:val="000000"/>
      <w:sz w:val="24"/>
      <w:szCs w:val="20"/>
      <w:lang w:eastAsia="cs-CZ"/>
    </w:rPr>
  </w:style>
  <w:style w:type="paragraph" w:styleId="Nadpis2">
    <w:name w:val="heading 2"/>
    <w:basedOn w:val="Normln"/>
    <w:next w:val="Normln"/>
    <w:link w:val="Nadpis2Char"/>
    <w:uiPriority w:val="9"/>
    <w:unhideWhenUsed/>
    <w:qFormat/>
    <w:rsid w:val="00F2080A"/>
    <w:pPr>
      <w:keepNext/>
      <w:keepLines/>
      <w:numPr>
        <w:numId w:val="5"/>
      </w:numPr>
      <w:spacing w:before="40" w:after="120"/>
      <w:jc w:val="both"/>
      <w:outlineLvl w:val="1"/>
    </w:pPr>
    <w:rPr>
      <w:rFonts w:eastAsiaTheme="majorEastAsia" w:cstheme="majorBidi"/>
      <w:b/>
      <w:sz w:val="24"/>
      <w:szCs w:val="26"/>
      <w:lang w:eastAsia="cs-CZ"/>
    </w:rPr>
  </w:style>
  <w:style w:type="paragraph" w:styleId="Nadpis3">
    <w:name w:val="heading 3"/>
    <w:basedOn w:val="Normln"/>
    <w:next w:val="Normln"/>
    <w:link w:val="Nadpis3Char"/>
    <w:uiPriority w:val="9"/>
    <w:unhideWhenUsed/>
    <w:qFormat/>
    <w:rsid w:val="001974B0"/>
    <w:pPr>
      <w:keepNext/>
      <w:keepLines/>
      <w:numPr>
        <w:ilvl w:val="1"/>
        <w:numId w:val="5"/>
      </w:numPr>
      <w:spacing w:before="40" w:after="120" w:line="240" w:lineRule="auto"/>
      <w:jc w:val="both"/>
      <w:outlineLvl w:val="2"/>
    </w:pPr>
    <w:rPr>
      <w:rFonts w:eastAsiaTheme="majorEastAsia" w:cstheme="majorBidi"/>
      <w:b/>
      <w:bCs/>
      <w:color w:val="000000"/>
      <w:sz w:val="24"/>
      <w:szCs w:val="24"/>
      <w:lang w:eastAsia="cs-CZ"/>
    </w:rPr>
  </w:style>
  <w:style w:type="paragraph" w:styleId="Nadpis4">
    <w:name w:val="heading 4"/>
    <w:basedOn w:val="Normln"/>
    <w:next w:val="Normln"/>
    <w:link w:val="Nadpis4Char"/>
    <w:uiPriority w:val="9"/>
    <w:unhideWhenUsed/>
    <w:qFormat/>
    <w:rsid w:val="00A1758E"/>
    <w:pPr>
      <w:keepNext/>
      <w:keepLines/>
      <w:spacing w:after="240" w:line="240" w:lineRule="auto"/>
      <w:ind w:left="862" w:hanging="862"/>
      <w:outlineLvl w:val="3"/>
    </w:pPr>
    <w:rPr>
      <w:rFonts w:eastAsiaTheme="majorEastAsia" w:cstheme="minorHAnsi"/>
      <w:b/>
      <w:iCs/>
      <w:color w:val="000000" w:themeColor="text1"/>
      <w:sz w:val="24"/>
      <w:szCs w:val="24"/>
    </w:rPr>
  </w:style>
  <w:style w:type="paragraph" w:styleId="Nadpis5">
    <w:name w:val="heading 5"/>
    <w:basedOn w:val="Normln"/>
    <w:next w:val="Normln"/>
    <w:link w:val="Nadpis5Char"/>
    <w:uiPriority w:val="9"/>
    <w:semiHidden/>
    <w:unhideWhenUsed/>
    <w:qFormat/>
    <w:rsid w:val="00911445"/>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Nadpis6">
    <w:name w:val="heading 6"/>
    <w:basedOn w:val="Normln"/>
    <w:next w:val="Normln"/>
    <w:link w:val="Nadpis6Char"/>
    <w:uiPriority w:val="9"/>
    <w:semiHidden/>
    <w:unhideWhenUsed/>
    <w:qFormat/>
    <w:rsid w:val="00911445"/>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911445"/>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Nadpis8">
    <w:name w:val="heading 8"/>
    <w:basedOn w:val="Normln"/>
    <w:next w:val="Normln"/>
    <w:link w:val="Nadpis8Char"/>
    <w:uiPriority w:val="9"/>
    <w:semiHidden/>
    <w:unhideWhenUsed/>
    <w:qFormat/>
    <w:rsid w:val="0091144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1144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1445"/>
    <w:rPr>
      <w:rFonts w:eastAsia="Times New Roman" w:cstheme="minorHAnsi"/>
      <w:b/>
      <w:color w:val="000000"/>
      <w:sz w:val="24"/>
      <w:szCs w:val="20"/>
      <w:lang w:eastAsia="cs-CZ"/>
    </w:rPr>
  </w:style>
  <w:style w:type="character" w:customStyle="1" w:styleId="Nadpis3Char">
    <w:name w:val="Nadpis 3 Char"/>
    <w:basedOn w:val="Standardnpsmoodstavce"/>
    <w:link w:val="Nadpis3"/>
    <w:uiPriority w:val="9"/>
    <w:rsid w:val="001974B0"/>
    <w:rPr>
      <w:rFonts w:eastAsiaTheme="majorEastAsia" w:cstheme="majorBidi"/>
      <w:b/>
      <w:bCs/>
      <w:color w:val="000000"/>
      <w:sz w:val="24"/>
      <w:szCs w:val="24"/>
      <w:lang w:eastAsia="cs-CZ"/>
    </w:rPr>
  </w:style>
  <w:style w:type="character" w:customStyle="1" w:styleId="Nadpis4Char">
    <w:name w:val="Nadpis 4 Char"/>
    <w:basedOn w:val="Standardnpsmoodstavce"/>
    <w:link w:val="Nadpis4"/>
    <w:uiPriority w:val="9"/>
    <w:rsid w:val="00A1758E"/>
    <w:rPr>
      <w:rFonts w:eastAsiaTheme="majorEastAsia" w:cstheme="minorHAnsi"/>
      <w:b/>
      <w:iCs/>
      <w:color w:val="000000" w:themeColor="text1"/>
      <w:sz w:val="24"/>
      <w:szCs w:val="24"/>
    </w:rPr>
  </w:style>
  <w:style w:type="character" w:customStyle="1" w:styleId="Nadpis5Char">
    <w:name w:val="Nadpis 5 Char"/>
    <w:basedOn w:val="Standardnpsmoodstavce"/>
    <w:link w:val="Nadpis5"/>
    <w:uiPriority w:val="9"/>
    <w:semiHidden/>
    <w:rsid w:val="00911445"/>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911445"/>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911445"/>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91144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11445"/>
    <w:rPr>
      <w:rFonts w:asciiTheme="majorHAnsi" w:eastAsiaTheme="majorEastAsia" w:hAnsiTheme="majorHAnsi" w:cstheme="majorBidi"/>
      <w:i/>
      <w:iCs/>
      <w:color w:val="272727" w:themeColor="text1" w:themeTint="D8"/>
      <w:sz w:val="21"/>
      <w:szCs w:val="21"/>
    </w:rPr>
  </w:style>
  <w:style w:type="paragraph" w:styleId="Textpoznpodarou">
    <w:name w:val="footnote text"/>
    <w:aliases w:val="Text pozn. pod čarou Char Char,Text pozn. pod čarou Char Char Char Char,Text pozn. pod čarou Char1,Text pozn. pod čarou Char1 Char Char,Text pozn. pod čarou Char1 Char Char Char Char,poznamky_pod_carou,studie-poznámka pod čarou,Char"/>
    <w:basedOn w:val="Normln"/>
    <w:link w:val="TextpoznpodarouChar"/>
    <w:uiPriority w:val="99"/>
    <w:unhideWhenUsed/>
    <w:qFormat/>
    <w:rsid w:val="004058E2"/>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Text pozn. pod čarou Char Char Char,Text pozn. pod čarou Char Char Char Char Char,Text pozn. pod čarou Char1 Char,Text pozn. pod čarou Char1 Char Char Char,Text pozn. pod čarou Char1 Char Char Char Char Char,Char Char"/>
    <w:basedOn w:val="Standardnpsmoodstavce"/>
    <w:link w:val="Textpoznpodarou"/>
    <w:uiPriority w:val="99"/>
    <w:qFormat/>
    <w:rsid w:val="004058E2"/>
    <w:rPr>
      <w:rFonts w:ascii="Times New Roman" w:eastAsia="Times New Roman" w:hAnsi="Times New Roman" w:cs="Times New Roman"/>
      <w:sz w:val="20"/>
      <w:szCs w:val="20"/>
    </w:rPr>
  </w:style>
  <w:style w:type="character" w:styleId="Znakapoznpodarou">
    <w:name w:val="footnote reference"/>
    <w:aliases w:val=" Char1,Char1,EN Footnote Reference,EN Footnote text,Exposant 3 Point,Footnote,Footnote Refernece,Footnote number,Footnote reference number,Footnote symbol,Fussnota,Nota,Ref,SUPERS,Times 10 Point,de nota al pie,note TESI,4_G,12 b."/>
    <w:basedOn w:val="Standardnpsmoodstavce"/>
    <w:link w:val="BVIfnrCharChar"/>
    <w:uiPriority w:val="99"/>
    <w:unhideWhenUsed/>
    <w:qFormat/>
    <w:rsid w:val="004058E2"/>
    <w:rPr>
      <w:vertAlign w:val="superscript"/>
    </w:rPr>
  </w:style>
  <w:style w:type="paragraph" w:customStyle="1" w:styleId="Odrka1">
    <w:name w:val="Odrážka 1"/>
    <w:basedOn w:val="Normln"/>
    <w:qFormat/>
    <w:rsid w:val="00647F54"/>
    <w:pPr>
      <w:numPr>
        <w:numId w:val="2"/>
      </w:numPr>
      <w:spacing w:after="120" w:line="240" w:lineRule="auto"/>
      <w:jc w:val="both"/>
    </w:pPr>
    <w:rPr>
      <w:rFonts w:ascii="Calibri" w:hAnsi="Calibri"/>
      <w:sz w:val="24"/>
    </w:rPr>
  </w:style>
  <w:style w:type="paragraph" w:styleId="Odstavecseseznamem">
    <w:name w:val="List Paragraph"/>
    <w:aliases w:val="Bullet List,Bullet Number,Conclusion de partie,FooterText,List Paragraph1,List Paragraph_0,NAKIT List Paragraph,Nad,Nadpis pro KZ,Název grafu,Odstavec_muj,Paragraphe de liste1,cp_Odstavec se seznamem,nad 1,numbered,odrážky,列出段落,Nad1"/>
    <w:basedOn w:val="Normln"/>
    <w:link w:val="OdstavecseseznamemChar"/>
    <w:uiPriority w:val="34"/>
    <w:qFormat/>
    <w:rsid w:val="00647F54"/>
    <w:pPr>
      <w:ind w:left="720"/>
      <w:contextualSpacing/>
    </w:pPr>
  </w:style>
  <w:style w:type="paragraph" w:styleId="Textbubliny">
    <w:name w:val="Balloon Text"/>
    <w:basedOn w:val="Normln"/>
    <w:link w:val="TextbublinyChar"/>
    <w:uiPriority w:val="99"/>
    <w:semiHidden/>
    <w:unhideWhenUsed/>
    <w:rsid w:val="008A5D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5DC6"/>
    <w:rPr>
      <w:rFonts w:ascii="Segoe UI" w:hAnsi="Segoe UI" w:cs="Segoe UI"/>
      <w:sz w:val="18"/>
      <w:szCs w:val="18"/>
    </w:rPr>
  </w:style>
  <w:style w:type="paragraph" w:styleId="Zhlav">
    <w:name w:val="header"/>
    <w:basedOn w:val="Normln"/>
    <w:link w:val="ZhlavChar"/>
    <w:uiPriority w:val="99"/>
    <w:unhideWhenUsed/>
    <w:rsid w:val="00755F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5FBD"/>
  </w:style>
  <w:style w:type="paragraph" w:styleId="Zpat">
    <w:name w:val="footer"/>
    <w:basedOn w:val="Normln"/>
    <w:link w:val="ZpatChar"/>
    <w:uiPriority w:val="99"/>
    <w:unhideWhenUsed/>
    <w:rsid w:val="00755FBD"/>
    <w:pPr>
      <w:tabs>
        <w:tab w:val="center" w:pos="4536"/>
        <w:tab w:val="right" w:pos="9072"/>
      </w:tabs>
      <w:spacing w:after="0" w:line="240" w:lineRule="auto"/>
    </w:pPr>
  </w:style>
  <w:style w:type="character" w:customStyle="1" w:styleId="ZpatChar">
    <w:name w:val="Zápatí Char"/>
    <w:basedOn w:val="Standardnpsmoodstavce"/>
    <w:link w:val="Zpat"/>
    <w:uiPriority w:val="99"/>
    <w:rsid w:val="00755FBD"/>
  </w:style>
  <w:style w:type="paragraph" w:styleId="Normlnweb">
    <w:name w:val="Normal (Web)"/>
    <w:basedOn w:val="Normln"/>
    <w:uiPriority w:val="99"/>
    <w:semiHidden/>
    <w:unhideWhenUsed/>
    <w:rsid w:val="00731E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
    <w:name w:val="Základní text_"/>
    <w:basedOn w:val="Standardnpsmoodstavce"/>
    <w:link w:val="Zkladntext1"/>
    <w:rsid w:val="00C9542C"/>
    <w:rPr>
      <w:rFonts w:ascii="Calibri" w:eastAsia="Calibri" w:hAnsi="Calibri" w:cs="Calibri"/>
      <w:sz w:val="24"/>
      <w:szCs w:val="24"/>
      <w:shd w:val="clear" w:color="auto" w:fill="FFFFFF"/>
    </w:rPr>
  </w:style>
  <w:style w:type="paragraph" w:customStyle="1" w:styleId="Zkladntext1">
    <w:name w:val="Základní text1"/>
    <w:basedOn w:val="Normln"/>
    <w:link w:val="Zkladntext"/>
    <w:rsid w:val="00C9542C"/>
    <w:pPr>
      <w:widowControl w:val="0"/>
      <w:shd w:val="clear" w:color="auto" w:fill="FFFFFF"/>
      <w:spacing w:after="100" w:line="240" w:lineRule="auto"/>
      <w:jc w:val="both"/>
    </w:pPr>
    <w:rPr>
      <w:rFonts w:ascii="Calibri" w:eastAsia="Calibri" w:hAnsi="Calibri" w:cs="Calibri"/>
      <w:sz w:val="24"/>
      <w:szCs w:val="24"/>
    </w:rPr>
  </w:style>
  <w:style w:type="character" w:customStyle="1" w:styleId="Zkladntext4">
    <w:name w:val="Základní text (4)_"/>
    <w:basedOn w:val="Standardnpsmoodstavce"/>
    <w:link w:val="Zkladntext40"/>
    <w:rsid w:val="00266DE2"/>
    <w:rPr>
      <w:rFonts w:ascii="Times New Roman" w:eastAsia="Times New Roman" w:hAnsi="Times New Roman" w:cs="Times New Roman"/>
      <w:color w:val="403871"/>
      <w:sz w:val="92"/>
      <w:szCs w:val="92"/>
      <w:shd w:val="clear" w:color="auto" w:fill="FFFFFF"/>
    </w:rPr>
  </w:style>
  <w:style w:type="paragraph" w:customStyle="1" w:styleId="Zkladntext40">
    <w:name w:val="Základní text (4)"/>
    <w:basedOn w:val="Normln"/>
    <w:link w:val="Zkladntext4"/>
    <w:rsid w:val="00266DE2"/>
    <w:pPr>
      <w:widowControl w:val="0"/>
      <w:shd w:val="clear" w:color="auto" w:fill="FFFFFF"/>
      <w:spacing w:after="0" w:line="240" w:lineRule="auto"/>
    </w:pPr>
    <w:rPr>
      <w:rFonts w:ascii="Times New Roman" w:eastAsia="Times New Roman" w:hAnsi="Times New Roman" w:cs="Times New Roman"/>
      <w:color w:val="403871"/>
      <w:sz w:val="92"/>
      <w:szCs w:val="92"/>
    </w:rPr>
  </w:style>
  <w:style w:type="character" w:styleId="Odkaznakoment">
    <w:name w:val="annotation reference"/>
    <w:basedOn w:val="Standardnpsmoodstavce"/>
    <w:uiPriority w:val="99"/>
    <w:semiHidden/>
    <w:unhideWhenUsed/>
    <w:rsid w:val="00227A6B"/>
    <w:rPr>
      <w:sz w:val="16"/>
      <w:szCs w:val="16"/>
    </w:rPr>
  </w:style>
  <w:style w:type="paragraph" w:styleId="Textkomente">
    <w:name w:val="annotation text"/>
    <w:basedOn w:val="Normln"/>
    <w:link w:val="TextkomenteChar"/>
    <w:uiPriority w:val="99"/>
    <w:unhideWhenUsed/>
    <w:rsid w:val="00227A6B"/>
    <w:pPr>
      <w:spacing w:line="240" w:lineRule="auto"/>
    </w:pPr>
    <w:rPr>
      <w:sz w:val="20"/>
      <w:szCs w:val="20"/>
    </w:rPr>
  </w:style>
  <w:style w:type="character" w:customStyle="1" w:styleId="TextkomenteChar">
    <w:name w:val="Text komentáře Char"/>
    <w:basedOn w:val="Standardnpsmoodstavce"/>
    <w:link w:val="Textkomente"/>
    <w:uiPriority w:val="99"/>
    <w:rsid w:val="00227A6B"/>
    <w:rPr>
      <w:sz w:val="20"/>
      <w:szCs w:val="20"/>
    </w:rPr>
  </w:style>
  <w:style w:type="paragraph" w:styleId="Pedmtkomente">
    <w:name w:val="annotation subject"/>
    <w:basedOn w:val="Textkomente"/>
    <w:next w:val="Textkomente"/>
    <w:link w:val="PedmtkomenteChar"/>
    <w:uiPriority w:val="99"/>
    <w:semiHidden/>
    <w:unhideWhenUsed/>
    <w:rsid w:val="00227A6B"/>
    <w:rPr>
      <w:b/>
      <w:bCs/>
    </w:rPr>
  </w:style>
  <w:style w:type="character" w:customStyle="1" w:styleId="PedmtkomenteChar">
    <w:name w:val="Předmět komentáře Char"/>
    <w:basedOn w:val="TextkomenteChar"/>
    <w:link w:val="Pedmtkomente"/>
    <w:uiPriority w:val="99"/>
    <w:semiHidden/>
    <w:rsid w:val="00227A6B"/>
    <w:rPr>
      <w:b/>
      <w:bCs/>
      <w:sz w:val="20"/>
      <w:szCs w:val="20"/>
    </w:rPr>
  </w:style>
  <w:style w:type="character" w:customStyle="1" w:styleId="OdstavecseseznamemChar">
    <w:name w:val="Odstavec se seznamem Char"/>
    <w:aliases w:val="Bullet List Char,Bullet Number Char,Conclusion de partie Char,FooterText Char,List Paragraph1 Char,List Paragraph_0 Char,NAKIT List Paragraph Char,Nad Char,Nadpis pro KZ Char,Název grafu Char,Odstavec_muj Char,nad 1 Char"/>
    <w:link w:val="Odstavecseseznamem"/>
    <w:uiPriority w:val="34"/>
    <w:rsid w:val="00BC1D34"/>
  </w:style>
  <w:style w:type="table" w:styleId="Mkatabulky">
    <w:name w:val="Table Grid"/>
    <w:basedOn w:val="Normlntabulka"/>
    <w:uiPriority w:val="59"/>
    <w:rsid w:val="00B5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97848"/>
    <w:pPr>
      <w:spacing w:after="200" w:line="240" w:lineRule="auto"/>
    </w:pPr>
    <w:rPr>
      <w:i/>
      <w:iCs/>
      <w:color w:val="44546A" w:themeColor="text2"/>
      <w:sz w:val="18"/>
      <w:szCs w:val="18"/>
    </w:rPr>
  </w:style>
  <w:style w:type="character" w:customStyle="1" w:styleId="Nadpis2Char">
    <w:name w:val="Nadpis 2 Char"/>
    <w:basedOn w:val="Standardnpsmoodstavce"/>
    <w:link w:val="Nadpis2"/>
    <w:uiPriority w:val="9"/>
    <w:rsid w:val="00F2080A"/>
    <w:rPr>
      <w:rFonts w:eastAsiaTheme="majorEastAsia" w:cstheme="majorBidi"/>
      <w:b/>
      <w:sz w:val="24"/>
      <w:szCs w:val="26"/>
      <w:lang w:eastAsia="cs-CZ"/>
    </w:rPr>
  </w:style>
  <w:style w:type="character" w:styleId="Hypertextovodkaz">
    <w:name w:val="Hyperlink"/>
    <w:basedOn w:val="Standardnpsmoodstavce"/>
    <w:uiPriority w:val="99"/>
    <w:unhideWhenUsed/>
    <w:rsid w:val="002919E8"/>
    <w:rPr>
      <w:color w:val="0563C1" w:themeColor="hyperlink"/>
      <w:u w:val="single"/>
    </w:rPr>
  </w:style>
  <w:style w:type="character" w:styleId="Nevyeenzmnka">
    <w:name w:val="Unresolved Mention"/>
    <w:basedOn w:val="Standardnpsmoodstavce"/>
    <w:uiPriority w:val="99"/>
    <w:semiHidden/>
    <w:unhideWhenUsed/>
    <w:rsid w:val="002919E8"/>
    <w:rPr>
      <w:color w:val="605E5C"/>
      <w:shd w:val="clear" w:color="auto" w:fill="E1DFDD"/>
    </w:rPr>
  </w:style>
  <w:style w:type="paragraph" w:customStyle="1" w:styleId="Tabulka">
    <w:name w:val="Tabulka č."/>
    <w:basedOn w:val="Normln"/>
    <w:link w:val="TabulkaChar"/>
    <w:autoRedefine/>
    <w:qFormat/>
    <w:rsid w:val="007179CF"/>
    <w:pPr>
      <w:keepNext/>
      <w:spacing w:before="120" w:after="120"/>
      <w:jc w:val="both"/>
    </w:pPr>
    <w:rPr>
      <w:rFonts w:ascii="Calibri" w:eastAsia="Calibri" w:hAnsi="Calibri"/>
      <w:b/>
      <w:sz w:val="24"/>
      <w:szCs w:val="24"/>
    </w:rPr>
  </w:style>
  <w:style w:type="character" w:customStyle="1" w:styleId="TabulkaChar">
    <w:name w:val="Tabulka č. Char"/>
    <w:basedOn w:val="Standardnpsmoodstavce"/>
    <w:link w:val="Tabulka"/>
    <w:rsid w:val="007179CF"/>
    <w:rPr>
      <w:rFonts w:ascii="Calibri" w:eastAsia="Calibri" w:hAnsi="Calibri"/>
      <w:b/>
      <w:sz w:val="24"/>
      <w:szCs w:val="24"/>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662358"/>
    <w:pPr>
      <w:spacing w:line="240" w:lineRule="exact"/>
      <w:jc w:val="both"/>
    </w:pPr>
    <w:rPr>
      <w:vertAlign w:val="superscript"/>
    </w:rPr>
  </w:style>
  <w:style w:type="character" w:customStyle="1" w:styleId="A1">
    <w:name w:val="A1"/>
    <w:uiPriority w:val="99"/>
    <w:rsid w:val="00662358"/>
    <w:rPr>
      <w:color w:val="000000"/>
      <w:sz w:val="28"/>
      <w:szCs w:val="28"/>
    </w:rPr>
  </w:style>
  <w:style w:type="character" w:styleId="Siln">
    <w:name w:val="Strong"/>
    <w:basedOn w:val="Standardnpsmoodstavce"/>
    <w:uiPriority w:val="22"/>
    <w:qFormat/>
    <w:rsid w:val="001E6A85"/>
    <w:rPr>
      <w:b/>
      <w:bCs/>
    </w:rPr>
  </w:style>
  <w:style w:type="paragraph" w:styleId="Revize">
    <w:name w:val="Revision"/>
    <w:hidden/>
    <w:uiPriority w:val="99"/>
    <w:semiHidden/>
    <w:rsid w:val="00C15DBF"/>
    <w:pPr>
      <w:spacing w:after="0" w:line="240" w:lineRule="auto"/>
    </w:pPr>
  </w:style>
  <w:style w:type="paragraph" w:customStyle="1" w:styleId="Default">
    <w:name w:val="Default"/>
    <w:rsid w:val="006C3291"/>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bold">
    <w:name w:val="bold"/>
    <w:basedOn w:val="Standardnpsmoodstavce"/>
    <w:rsid w:val="00777022"/>
  </w:style>
  <w:style w:type="character" w:styleId="Sledovanodkaz">
    <w:name w:val="FollowedHyperlink"/>
    <w:basedOn w:val="Standardnpsmoodstavce"/>
    <w:uiPriority w:val="99"/>
    <w:semiHidden/>
    <w:unhideWhenUsed/>
    <w:rsid w:val="00777022"/>
    <w:rPr>
      <w:color w:val="954F72" w:themeColor="followedHyperlink"/>
      <w:u w:val="single"/>
    </w:rPr>
  </w:style>
  <w:style w:type="table" w:customStyle="1" w:styleId="Mkatabulky1">
    <w:name w:val="Mřížka tabulky1"/>
    <w:basedOn w:val="Normlntabulka"/>
    <w:next w:val="Mkatabulky"/>
    <w:uiPriority w:val="39"/>
    <w:rsid w:val="0043539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231">
      <w:bodyDiv w:val="1"/>
      <w:marLeft w:val="0"/>
      <w:marRight w:val="0"/>
      <w:marTop w:val="0"/>
      <w:marBottom w:val="0"/>
      <w:divBdr>
        <w:top w:val="none" w:sz="0" w:space="0" w:color="auto"/>
        <w:left w:val="none" w:sz="0" w:space="0" w:color="auto"/>
        <w:bottom w:val="none" w:sz="0" w:space="0" w:color="auto"/>
        <w:right w:val="none" w:sz="0" w:space="0" w:color="auto"/>
      </w:divBdr>
    </w:div>
    <w:div w:id="92016391">
      <w:bodyDiv w:val="1"/>
      <w:marLeft w:val="0"/>
      <w:marRight w:val="0"/>
      <w:marTop w:val="0"/>
      <w:marBottom w:val="0"/>
      <w:divBdr>
        <w:top w:val="none" w:sz="0" w:space="0" w:color="auto"/>
        <w:left w:val="none" w:sz="0" w:space="0" w:color="auto"/>
        <w:bottom w:val="none" w:sz="0" w:space="0" w:color="auto"/>
        <w:right w:val="none" w:sz="0" w:space="0" w:color="auto"/>
      </w:divBdr>
    </w:div>
    <w:div w:id="172377134">
      <w:bodyDiv w:val="1"/>
      <w:marLeft w:val="0"/>
      <w:marRight w:val="0"/>
      <w:marTop w:val="0"/>
      <w:marBottom w:val="0"/>
      <w:divBdr>
        <w:top w:val="none" w:sz="0" w:space="0" w:color="auto"/>
        <w:left w:val="none" w:sz="0" w:space="0" w:color="auto"/>
        <w:bottom w:val="none" w:sz="0" w:space="0" w:color="auto"/>
        <w:right w:val="none" w:sz="0" w:space="0" w:color="auto"/>
      </w:divBdr>
    </w:div>
    <w:div w:id="383798102">
      <w:bodyDiv w:val="1"/>
      <w:marLeft w:val="0"/>
      <w:marRight w:val="0"/>
      <w:marTop w:val="0"/>
      <w:marBottom w:val="0"/>
      <w:divBdr>
        <w:top w:val="none" w:sz="0" w:space="0" w:color="auto"/>
        <w:left w:val="none" w:sz="0" w:space="0" w:color="auto"/>
        <w:bottom w:val="none" w:sz="0" w:space="0" w:color="auto"/>
        <w:right w:val="none" w:sz="0" w:space="0" w:color="auto"/>
      </w:divBdr>
    </w:div>
    <w:div w:id="405687686">
      <w:bodyDiv w:val="1"/>
      <w:marLeft w:val="0"/>
      <w:marRight w:val="0"/>
      <w:marTop w:val="0"/>
      <w:marBottom w:val="0"/>
      <w:divBdr>
        <w:top w:val="none" w:sz="0" w:space="0" w:color="auto"/>
        <w:left w:val="none" w:sz="0" w:space="0" w:color="auto"/>
        <w:bottom w:val="none" w:sz="0" w:space="0" w:color="auto"/>
        <w:right w:val="none" w:sz="0" w:space="0" w:color="auto"/>
      </w:divBdr>
    </w:div>
    <w:div w:id="460852174">
      <w:bodyDiv w:val="1"/>
      <w:marLeft w:val="0"/>
      <w:marRight w:val="0"/>
      <w:marTop w:val="0"/>
      <w:marBottom w:val="0"/>
      <w:divBdr>
        <w:top w:val="none" w:sz="0" w:space="0" w:color="auto"/>
        <w:left w:val="none" w:sz="0" w:space="0" w:color="auto"/>
        <w:bottom w:val="none" w:sz="0" w:space="0" w:color="auto"/>
        <w:right w:val="none" w:sz="0" w:space="0" w:color="auto"/>
      </w:divBdr>
    </w:div>
    <w:div w:id="505050301">
      <w:bodyDiv w:val="1"/>
      <w:marLeft w:val="0"/>
      <w:marRight w:val="0"/>
      <w:marTop w:val="0"/>
      <w:marBottom w:val="0"/>
      <w:divBdr>
        <w:top w:val="none" w:sz="0" w:space="0" w:color="auto"/>
        <w:left w:val="none" w:sz="0" w:space="0" w:color="auto"/>
        <w:bottom w:val="none" w:sz="0" w:space="0" w:color="auto"/>
        <w:right w:val="none" w:sz="0" w:space="0" w:color="auto"/>
      </w:divBdr>
    </w:div>
    <w:div w:id="538467761">
      <w:bodyDiv w:val="1"/>
      <w:marLeft w:val="0"/>
      <w:marRight w:val="0"/>
      <w:marTop w:val="0"/>
      <w:marBottom w:val="0"/>
      <w:divBdr>
        <w:top w:val="none" w:sz="0" w:space="0" w:color="auto"/>
        <w:left w:val="none" w:sz="0" w:space="0" w:color="auto"/>
        <w:bottom w:val="none" w:sz="0" w:space="0" w:color="auto"/>
        <w:right w:val="none" w:sz="0" w:space="0" w:color="auto"/>
      </w:divBdr>
    </w:div>
    <w:div w:id="541745947">
      <w:bodyDiv w:val="1"/>
      <w:marLeft w:val="0"/>
      <w:marRight w:val="0"/>
      <w:marTop w:val="0"/>
      <w:marBottom w:val="0"/>
      <w:divBdr>
        <w:top w:val="none" w:sz="0" w:space="0" w:color="auto"/>
        <w:left w:val="none" w:sz="0" w:space="0" w:color="auto"/>
        <w:bottom w:val="none" w:sz="0" w:space="0" w:color="auto"/>
        <w:right w:val="none" w:sz="0" w:space="0" w:color="auto"/>
      </w:divBdr>
    </w:div>
    <w:div w:id="569540160">
      <w:bodyDiv w:val="1"/>
      <w:marLeft w:val="0"/>
      <w:marRight w:val="0"/>
      <w:marTop w:val="0"/>
      <w:marBottom w:val="0"/>
      <w:divBdr>
        <w:top w:val="none" w:sz="0" w:space="0" w:color="auto"/>
        <w:left w:val="none" w:sz="0" w:space="0" w:color="auto"/>
        <w:bottom w:val="none" w:sz="0" w:space="0" w:color="auto"/>
        <w:right w:val="none" w:sz="0" w:space="0" w:color="auto"/>
      </w:divBdr>
    </w:div>
    <w:div w:id="612636774">
      <w:bodyDiv w:val="1"/>
      <w:marLeft w:val="0"/>
      <w:marRight w:val="0"/>
      <w:marTop w:val="0"/>
      <w:marBottom w:val="0"/>
      <w:divBdr>
        <w:top w:val="none" w:sz="0" w:space="0" w:color="auto"/>
        <w:left w:val="none" w:sz="0" w:space="0" w:color="auto"/>
        <w:bottom w:val="none" w:sz="0" w:space="0" w:color="auto"/>
        <w:right w:val="none" w:sz="0" w:space="0" w:color="auto"/>
      </w:divBdr>
    </w:div>
    <w:div w:id="770517689">
      <w:bodyDiv w:val="1"/>
      <w:marLeft w:val="0"/>
      <w:marRight w:val="0"/>
      <w:marTop w:val="0"/>
      <w:marBottom w:val="0"/>
      <w:divBdr>
        <w:top w:val="none" w:sz="0" w:space="0" w:color="auto"/>
        <w:left w:val="none" w:sz="0" w:space="0" w:color="auto"/>
        <w:bottom w:val="none" w:sz="0" w:space="0" w:color="auto"/>
        <w:right w:val="none" w:sz="0" w:space="0" w:color="auto"/>
      </w:divBdr>
    </w:div>
    <w:div w:id="879827279">
      <w:bodyDiv w:val="1"/>
      <w:marLeft w:val="0"/>
      <w:marRight w:val="0"/>
      <w:marTop w:val="0"/>
      <w:marBottom w:val="0"/>
      <w:divBdr>
        <w:top w:val="none" w:sz="0" w:space="0" w:color="auto"/>
        <w:left w:val="none" w:sz="0" w:space="0" w:color="auto"/>
        <w:bottom w:val="none" w:sz="0" w:space="0" w:color="auto"/>
        <w:right w:val="none" w:sz="0" w:space="0" w:color="auto"/>
      </w:divBdr>
    </w:div>
    <w:div w:id="982735840">
      <w:bodyDiv w:val="1"/>
      <w:marLeft w:val="0"/>
      <w:marRight w:val="0"/>
      <w:marTop w:val="0"/>
      <w:marBottom w:val="0"/>
      <w:divBdr>
        <w:top w:val="none" w:sz="0" w:space="0" w:color="auto"/>
        <w:left w:val="none" w:sz="0" w:space="0" w:color="auto"/>
        <w:bottom w:val="none" w:sz="0" w:space="0" w:color="auto"/>
        <w:right w:val="none" w:sz="0" w:space="0" w:color="auto"/>
      </w:divBdr>
    </w:div>
    <w:div w:id="1000351335">
      <w:bodyDiv w:val="1"/>
      <w:marLeft w:val="0"/>
      <w:marRight w:val="0"/>
      <w:marTop w:val="0"/>
      <w:marBottom w:val="0"/>
      <w:divBdr>
        <w:top w:val="none" w:sz="0" w:space="0" w:color="auto"/>
        <w:left w:val="none" w:sz="0" w:space="0" w:color="auto"/>
        <w:bottom w:val="none" w:sz="0" w:space="0" w:color="auto"/>
        <w:right w:val="none" w:sz="0" w:space="0" w:color="auto"/>
      </w:divBdr>
    </w:div>
    <w:div w:id="1024137352">
      <w:bodyDiv w:val="1"/>
      <w:marLeft w:val="0"/>
      <w:marRight w:val="0"/>
      <w:marTop w:val="0"/>
      <w:marBottom w:val="0"/>
      <w:divBdr>
        <w:top w:val="none" w:sz="0" w:space="0" w:color="auto"/>
        <w:left w:val="none" w:sz="0" w:space="0" w:color="auto"/>
        <w:bottom w:val="none" w:sz="0" w:space="0" w:color="auto"/>
        <w:right w:val="none" w:sz="0" w:space="0" w:color="auto"/>
      </w:divBdr>
    </w:div>
    <w:div w:id="1255823611">
      <w:bodyDiv w:val="1"/>
      <w:marLeft w:val="0"/>
      <w:marRight w:val="0"/>
      <w:marTop w:val="0"/>
      <w:marBottom w:val="0"/>
      <w:divBdr>
        <w:top w:val="none" w:sz="0" w:space="0" w:color="auto"/>
        <w:left w:val="none" w:sz="0" w:space="0" w:color="auto"/>
        <w:bottom w:val="none" w:sz="0" w:space="0" w:color="auto"/>
        <w:right w:val="none" w:sz="0" w:space="0" w:color="auto"/>
      </w:divBdr>
    </w:div>
    <w:div w:id="1330256667">
      <w:bodyDiv w:val="1"/>
      <w:marLeft w:val="0"/>
      <w:marRight w:val="0"/>
      <w:marTop w:val="0"/>
      <w:marBottom w:val="0"/>
      <w:divBdr>
        <w:top w:val="none" w:sz="0" w:space="0" w:color="auto"/>
        <w:left w:val="none" w:sz="0" w:space="0" w:color="auto"/>
        <w:bottom w:val="none" w:sz="0" w:space="0" w:color="auto"/>
        <w:right w:val="none" w:sz="0" w:space="0" w:color="auto"/>
      </w:divBdr>
    </w:div>
    <w:div w:id="1561938918">
      <w:bodyDiv w:val="1"/>
      <w:marLeft w:val="0"/>
      <w:marRight w:val="0"/>
      <w:marTop w:val="0"/>
      <w:marBottom w:val="0"/>
      <w:divBdr>
        <w:top w:val="none" w:sz="0" w:space="0" w:color="auto"/>
        <w:left w:val="none" w:sz="0" w:space="0" w:color="auto"/>
        <w:bottom w:val="none" w:sz="0" w:space="0" w:color="auto"/>
        <w:right w:val="none" w:sz="0" w:space="0" w:color="auto"/>
      </w:divBdr>
    </w:div>
    <w:div w:id="1623001646">
      <w:bodyDiv w:val="1"/>
      <w:marLeft w:val="0"/>
      <w:marRight w:val="0"/>
      <w:marTop w:val="0"/>
      <w:marBottom w:val="0"/>
      <w:divBdr>
        <w:top w:val="none" w:sz="0" w:space="0" w:color="auto"/>
        <w:left w:val="none" w:sz="0" w:space="0" w:color="auto"/>
        <w:bottom w:val="none" w:sz="0" w:space="0" w:color="auto"/>
        <w:right w:val="none" w:sz="0" w:space="0" w:color="auto"/>
      </w:divBdr>
    </w:div>
    <w:div w:id="1647858457">
      <w:bodyDiv w:val="1"/>
      <w:marLeft w:val="0"/>
      <w:marRight w:val="0"/>
      <w:marTop w:val="0"/>
      <w:marBottom w:val="0"/>
      <w:divBdr>
        <w:top w:val="none" w:sz="0" w:space="0" w:color="auto"/>
        <w:left w:val="none" w:sz="0" w:space="0" w:color="auto"/>
        <w:bottom w:val="none" w:sz="0" w:space="0" w:color="auto"/>
        <w:right w:val="none" w:sz="0" w:space="0" w:color="auto"/>
      </w:divBdr>
    </w:div>
    <w:div w:id="1868595135">
      <w:bodyDiv w:val="1"/>
      <w:marLeft w:val="0"/>
      <w:marRight w:val="0"/>
      <w:marTop w:val="0"/>
      <w:marBottom w:val="0"/>
      <w:divBdr>
        <w:top w:val="none" w:sz="0" w:space="0" w:color="auto"/>
        <w:left w:val="none" w:sz="0" w:space="0" w:color="auto"/>
        <w:bottom w:val="none" w:sz="0" w:space="0" w:color="auto"/>
        <w:right w:val="none" w:sz="0" w:space="0" w:color="auto"/>
      </w:divBdr>
    </w:div>
    <w:div w:id="1871139541">
      <w:bodyDiv w:val="1"/>
      <w:marLeft w:val="0"/>
      <w:marRight w:val="0"/>
      <w:marTop w:val="0"/>
      <w:marBottom w:val="0"/>
      <w:divBdr>
        <w:top w:val="none" w:sz="0" w:space="0" w:color="auto"/>
        <w:left w:val="none" w:sz="0" w:space="0" w:color="auto"/>
        <w:bottom w:val="none" w:sz="0" w:space="0" w:color="auto"/>
        <w:right w:val="none" w:sz="0" w:space="0" w:color="auto"/>
      </w:divBdr>
    </w:div>
    <w:div w:id="21180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monitor.statnipokladna.cz/analyza/"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s://ria.vlada.cz/zverejnena-metodika-k-ex-post-ria/" TargetMode="External"/><Relationship Id="rId1" Type="http://schemas.openxmlformats.org/officeDocument/2006/relationships/hyperlink" Target="https://eur-lex.europa.eu/CS/legal-content/summary/aggressive-tax-planning.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1\GURAJOVA\00%20NK&#218;\23_23_PR&#193;VNICK&#201;%20OSOBY\Z&#193;V&#282;R\tabulky%20z&#225;v&#283;r%20efektivnos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ku/sites/teamsites/ka2323/Sdilene%20dokumenty/Kontroln&#237;%20z&#225;v&#283;r/tabulky%20a%20grafy%20z&#225;v&#283;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GURAJOVA\00%20NK&#218;\23_23_PR&#193;VNICK&#201;%20OSOBY\Z&#193;V&#282;R\tabulky%20z&#225;v&#283;r%20efektivnos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2\035\KOLEGIUM\&#268;LENOV&#201;\KON&#205;CEK\KZ\23-23\Kopie%20-%20tabulky%20a%20grafy%20z&#225;v&#283;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ku/sites/teamsites/ka2323/Sdilene%20dokumenty/Kontroln&#237;%20z&#225;v&#283;r/tabulky%20a%20grafy%20z&#225;v&#283;r.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811742282214724"/>
          <c:y val="4.3966572494737247E-2"/>
          <c:w val="0.25447062172783957"/>
          <c:h val="0.62091379244619704"/>
        </c:manualLayout>
      </c:layout>
      <c:doughnutChart>
        <c:varyColors val="1"/>
        <c:ser>
          <c:idx val="0"/>
          <c:order val="0"/>
          <c:explosion val="1"/>
          <c:dPt>
            <c:idx val="0"/>
            <c:bubble3D val="0"/>
            <c:spPr>
              <a:solidFill>
                <a:srgbClr val="E2F1EE"/>
              </a:solidFill>
              <a:ln w="19050">
                <a:solidFill>
                  <a:schemeClr val="lt1"/>
                </a:solidFill>
              </a:ln>
              <a:effectLst/>
            </c:spPr>
            <c:extLst>
              <c:ext xmlns:c16="http://schemas.microsoft.com/office/drawing/2014/chart" uri="{C3380CC4-5D6E-409C-BE32-E72D297353CC}">
                <c16:uniqueId val="{00000001-29A3-47B9-B78B-F9337A4D4850}"/>
              </c:ext>
            </c:extLst>
          </c:dPt>
          <c:dPt>
            <c:idx val="1"/>
            <c:bubble3D val="0"/>
            <c:spPr>
              <a:solidFill>
                <a:srgbClr val="2EB3A1"/>
              </a:solidFill>
              <a:ln w="19050">
                <a:solidFill>
                  <a:schemeClr val="lt1"/>
                </a:solidFill>
              </a:ln>
              <a:effectLst/>
            </c:spPr>
            <c:extLst>
              <c:ext xmlns:c16="http://schemas.microsoft.com/office/drawing/2014/chart" uri="{C3380CC4-5D6E-409C-BE32-E72D297353CC}">
                <c16:uniqueId val="{00000003-29A3-47B9-B78B-F9337A4D4850}"/>
              </c:ext>
            </c:extLst>
          </c:dPt>
          <c:dPt>
            <c:idx val="2"/>
            <c:bubble3D val="0"/>
            <c:spPr>
              <a:solidFill>
                <a:srgbClr val="9DD3C7"/>
              </a:solidFill>
              <a:ln w="19050">
                <a:solidFill>
                  <a:schemeClr val="lt1"/>
                </a:solidFill>
              </a:ln>
              <a:effectLst/>
            </c:spPr>
            <c:extLst>
              <c:ext xmlns:c16="http://schemas.microsoft.com/office/drawing/2014/chart" uri="{C3380CC4-5D6E-409C-BE32-E72D297353CC}">
                <c16:uniqueId val="{00000005-29A3-47B9-B78B-F9337A4D4850}"/>
              </c:ext>
            </c:extLst>
          </c:dPt>
          <c:dLbls>
            <c:dLbl>
              <c:idx val="0"/>
              <c:layout>
                <c:manualLayout>
                  <c:x val="5.355478646741714E-2"/>
                  <c:y val="-7.3057372022304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A3-47B9-B78B-F9337A4D4850}"/>
                </c:ext>
              </c:extLst>
            </c:dLbl>
            <c:dLbl>
              <c:idx val="1"/>
              <c:layout>
                <c:manualLayout>
                  <c:x val="8.3231444489952858E-2"/>
                  <c:y val="4.55851713993946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A3-47B9-B78B-F9337A4D4850}"/>
                </c:ext>
              </c:extLst>
            </c:dLbl>
            <c:dLbl>
              <c:idx val="2"/>
              <c:layout>
                <c:manualLayout>
                  <c:x val="-7.4658900404646206E-2"/>
                  <c:y val="4.1025591998198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A3-47B9-B78B-F9337A4D485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extLst>
          </c:dLbls>
          <c:cat>
            <c:strRef>
              <c:f>ATAD!$B$3:$B$5</c:f>
              <c:strCache>
                <c:ptCount val="3"/>
                <c:pt idx="0">
                  <c:v>Mzdové výdaje vynaložené GFŘ na zaměstnance účastnící se školení nebo seminářů (v Kč )</c:v>
                </c:pt>
                <c:pt idx="1">
                  <c:v>Výdaje vynaložené na úpravu ADIS (v Kč)</c:v>
                </c:pt>
                <c:pt idx="2">
                  <c:v>Mzdové výdaje vynaložené MF na zaměstnance zabývající se tvorbou hlavní transpoziční novely (v Kč)</c:v>
                </c:pt>
              </c:strCache>
            </c:strRef>
          </c:cat>
          <c:val>
            <c:numRef>
              <c:f>ATAD!$C$3:$C$5</c:f>
              <c:numCache>
                <c:formatCode>#,##0</c:formatCode>
                <c:ptCount val="3"/>
                <c:pt idx="0">
                  <c:v>2742474.57</c:v>
                </c:pt>
                <c:pt idx="1">
                  <c:v>9988084.5500000007</c:v>
                </c:pt>
                <c:pt idx="2">
                  <c:v>9134397.9100000001</c:v>
                </c:pt>
              </c:numCache>
            </c:numRef>
          </c:val>
          <c:extLst>
            <c:ext xmlns:c16="http://schemas.microsoft.com/office/drawing/2014/chart" uri="{C3380CC4-5D6E-409C-BE32-E72D297353CC}">
              <c16:uniqueId val="{00000006-29A3-47B9-B78B-F9337A4D4850}"/>
            </c:ext>
          </c:extLst>
        </c:ser>
        <c:dLbls>
          <c:showLegendKey val="0"/>
          <c:showVal val="1"/>
          <c:showCatName val="0"/>
          <c:showSerName val="0"/>
          <c:showPercent val="0"/>
          <c:showBubbleSize val="0"/>
          <c:showLeaderLines val="0"/>
        </c:dLbls>
        <c:firstSliceAng val="0"/>
        <c:holeSize val="66"/>
      </c:doughnutChart>
      <c:spPr>
        <a:noFill/>
        <a:ln>
          <a:noFill/>
        </a:ln>
        <a:effectLst/>
      </c:spPr>
    </c:plotArea>
    <c:legend>
      <c:legendPos val="b"/>
      <c:layout>
        <c:manualLayout>
          <c:xMode val="edge"/>
          <c:yMode val="edge"/>
          <c:x val="8.483384021441763E-2"/>
          <c:y val="0.73574311817800608"/>
          <c:w val="0.86560551458845425"/>
          <c:h val="0.26425688182199386"/>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18942417269484"/>
          <c:y val="7.2663312919218431E-2"/>
          <c:w val="0.28945854443969243"/>
          <c:h val="0.64282073892218827"/>
        </c:manualLayout>
      </c:layout>
      <c:doughnutChart>
        <c:varyColors val="1"/>
        <c:ser>
          <c:idx val="0"/>
          <c:order val="0"/>
          <c:spPr>
            <a:solidFill>
              <a:srgbClr val="CDAB45"/>
            </a:solidFill>
            <a:ln>
              <a:noFill/>
            </a:ln>
          </c:spPr>
          <c:explosion val="1"/>
          <c:dPt>
            <c:idx val="0"/>
            <c:bubble3D val="0"/>
            <c:spPr>
              <a:solidFill>
                <a:srgbClr val="FFE7AC"/>
              </a:solidFill>
              <a:ln w="19050">
                <a:noFill/>
              </a:ln>
              <a:effectLst/>
            </c:spPr>
            <c:extLst>
              <c:ext xmlns:c16="http://schemas.microsoft.com/office/drawing/2014/chart" uri="{C3380CC4-5D6E-409C-BE32-E72D297353CC}">
                <c16:uniqueId val="{00000001-91A0-4121-9196-7E33580BDE81}"/>
              </c:ext>
            </c:extLst>
          </c:dPt>
          <c:dPt>
            <c:idx val="1"/>
            <c:bubble3D val="0"/>
            <c:spPr>
              <a:solidFill>
                <a:srgbClr val="CDAB45"/>
              </a:solidFill>
              <a:ln w="19050">
                <a:noFill/>
              </a:ln>
              <a:effectLst/>
            </c:spPr>
            <c:extLst>
              <c:ext xmlns:c16="http://schemas.microsoft.com/office/drawing/2014/chart" uri="{C3380CC4-5D6E-409C-BE32-E72D297353CC}">
                <c16:uniqueId val="{00000003-91A0-4121-9196-7E33580BDE81}"/>
              </c:ext>
            </c:extLst>
          </c:dPt>
          <c:dPt>
            <c:idx val="2"/>
            <c:bubble3D val="0"/>
            <c:spPr>
              <a:solidFill>
                <a:srgbClr val="FDC300"/>
              </a:solidFill>
              <a:ln w="19050">
                <a:noFill/>
              </a:ln>
              <a:effectLst/>
            </c:spPr>
            <c:extLst>
              <c:ext xmlns:c16="http://schemas.microsoft.com/office/drawing/2014/chart" uri="{C3380CC4-5D6E-409C-BE32-E72D297353CC}">
                <c16:uniqueId val="{00000005-91A0-4121-9196-7E33580BDE81}"/>
              </c:ext>
            </c:extLst>
          </c:dPt>
          <c:dLbls>
            <c:dLbl>
              <c:idx val="0"/>
              <c:layout>
                <c:manualLayout>
                  <c:x val="6.0810800026459527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A0-4121-9196-7E33580BDE81}"/>
                </c:ext>
              </c:extLst>
            </c:dLbl>
            <c:dLbl>
              <c:idx val="1"/>
              <c:layout>
                <c:manualLayout>
                  <c:x val="8.1081066701946036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A0-4121-9196-7E33580BDE81}"/>
                </c:ext>
              </c:extLst>
            </c:dLbl>
            <c:dLbl>
              <c:idx val="2"/>
              <c:layout>
                <c:manualLayout>
                  <c:x val="-8.7837822260441539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A0-4121-9196-7E33580BDE8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extLst>
          </c:dLbls>
          <c:cat>
            <c:strRef>
              <c:f>'Graf č. 2 - DAC6'!$A$4:$A$6</c:f>
              <c:strCache>
                <c:ptCount val="3"/>
                <c:pt idx="0">
                  <c:v>Mzdové výdaje vynaložené GFŘ na zaměstnance provádějící činnosti v souvislosti s DAC6 (v Kč)</c:v>
                </c:pt>
                <c:pt idx="1">
                  <c:v>Mzdové výdaje vynaložené MF na zaměstnance provádějící činnosti v souvislosti s implementací směrnice DAC6 (v Kč)</c:v>
                </c:pt>
                <c:pt idx="2">
                  <c:v>Výdaje vynaložené na úpravu informačních systémů v souvislosti s implementací směrnice DAC6 (v Kč)</c:v>
                </c:pt>
              </c:strCache>
            </c:strRef>
          </c:cat>
          <c:val>
            <c:numRef>
              <c:f>'Graf č. 2 - DAC6'!$B$4:$B$6</c:f>
              <c:numCache>
                <c:formatCode>#,##0</c:formatCode>
                <c:ptCount val="3"/>
                <c:pt idx="0">
                  <c:v>2469317.92</c:v>
                </c:pt>
                <c:pt idx="1">
                  <c:v>5638045.4500000002</c:v>
                </c:pt>
                <c:pt idx="2">
                  <c:v>7022359.5199999996</c:v>
                </c:pt>
              </c:numCache>
            </c:numRef>
          </c:val>
          <c:extLst>
            <c:ext xmlns:c16="http://schemas.microsoft.com/office/drawing/2014/chart" uri="{C3380CC4-5D6E-409C-BE32-E72D297353CC}">
              <c16:uniqueId val="{00000006-91A0-4121-9196-7E33580BDE81}"/>
            </c:ext>
          </c:extLst>
        </c:ser>
        <c:dLbls>
          <c:showLegendKey val="0"/>
          <c:showVal val="0"/>
          <c:showCatName val="0"/>
          <c:showSerName val="0"/>
          <c:showPercent val="0"/>
          <c:showBubbleSize val="0"/>
          <c:showLeaderLines val="0"/>
        </c:dLbls>
        <c:firstSliceAng val="5"/>
        <c:holeSize val="66"/>
      </c:doughnutChart>
      <c:spPr>
        <a:noFill/>
        <a:ln>
          <a:noFill/>
        </a:ln>
        <a:effectLst/>
      </c:spPr>
    </c:plotArea>
    <c:legend>
      <c:legendPos val="b"/>
      <c:layout>
        <c:manualLayout>
          <c:xMode val="edge"/>
          <c:yMode val="edge"/>
          <c:x val="2.6505600495372933E-3"/>
          <c:y val="0.75361361773537561"/>
          <c:w val="0.9813699895310487"/>
          <c:h val="0.213979000034961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34417225624575E-2"/>
          <c:y val="5.6723474105578021E-2"/>
          <c:w val="0.93079719201766442"/>
          <c:h val="0.58575638938987384"/>
        </c:manualLayout>
      </c:layout>
      <c:barChart>
        <c:barDir val="col"/>
        <c:grouping val="clustered"/>
        <c:varyColors val="0"/>
        <c:ser>
          <c:idx val="0"/>
          <c:order val="0"/>
          <c:tx>
            <c:strRef>
              <c:f>kontrola!$B$22</c:f>
              <c:strCache>
                <c:ptCount val="1"/>
                <c:pt idx="0">
                  <c:v>Počet ukončených kontrolních postupů v oblasti DPPO</c:v>
                </c:pt>
              </c:strCache>
            </c:strRef>
          </c:tx>
          <c:spPr>
            <a:solidFill>
              <a:srgbClr val="FDC3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kontrola!$C$2:$H$2</c:f>
              <c:numCache>
                <c:formatCode>General</c:formatCode>
                <c:ptCount val="6"/>
                <c:pt idx="0">
                  <c:v>2018</c:v>
                </c:pt>
                <c:pt idx="1">
                  <c:v>2019</c:v>
                </c:pt>
                <c:pt idx="2">
                  <c:v>2020</c:v>
                </c:pt>
                <c:pt idx="3">
                  <c:v>2021</c:v>
                </c:pt>
                <c:pt idx="4">
                  <c:v>2022</c:v>
                </c:pt>
                <c:pt idx="5">
                  <c:v>2023</c:v>
                </c:pt>
              </c:numCache>
            </c:numRef>
          </c:cat>
          <c:val>
            <c:numRef>
              <c:f>kontrola!$C$22:$H$22</c:f>
              <c:numCache>
                <c:formatCode>#,##0</c:formatCode>
                <c:ptCount val="6"/>
                <c:pt idx="0">
                  <c:v>3663</c:v>
                </c:pt>
                <c:pt idx="1">
                  <c:v>3347</c:v>
                </c:pt>
                <c:pt idx="2">
                  <c:v>2234</c:v>
                </c:pt>
                <c:pt idx="3">
                  <c:v>2262</c:v>
                </c:pt>
                <c:pt idx="4">
                  <c:v>2829</c:v>
                </c:pt>
                <c:pt idx="5">
                  <c:v>2813</c:v>
                </c:pt>
              </c:numCache>
            </c:numRef>
          </c:val>
          <c:extLst>
            <c:ext xmlns:c16="http://schemas.microsoft.com/office/drawing/2014/chart" uri="{C3380CC4-5D6E-409C-BE32-E72D297353CC}">
              <c16:uniqueId val="{00000000-32A1-442F-ACC6-DEE69FF0C928}"/>
            </c:ext>
          </c:extLst>
        </c:ser>
        <c:ser>
          <c:idx val="1"/>
          <c:order val="1"/>
          <c:tx>
            <c:strRef>
              <c:f>kontrola!$B$23</c:f>
              <c:strCache>
                <c:ptCount val="1"/>
                <c:pt idx="0">
                  <c:v>Počet ukončených kontrolních postupů v oblasti DPPO se zjištěním</c:v>
                </c:pt>
              </c:strCache>
            </c:strRef>
          </c:tx>
          <c:spPr>
            <a:solidFill>
              <a:srgbClr val="FFE7A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kontrola!$C$2:$H$2</c:f>
              <c:numCache>
                <c:formatCode>General</c:formatCode>
                <c:ptCount val="6"/>
                <c:pt idx="0">
                  <c:v>2018</c:v>
                </c:pt>
                <c:pt idx="1">
                  <c:v>2019</c:v>
                </c:pt>
                <c:pt idx="2">
                  <c:v>2020</c:v>
                </c:pt>
                <c:pt idx="3">
                  <c:v>2021</c:v>
                </c:pt>
                <c:pt idx="4">
                  <c:v>2022</c:v>
                </c:pt>
                <c:pt idx="5">
                  <c:v>2023</c:v>
                </c:pt>
              </c:numCache>
            </c:numRef>
          </c:cat>
          <c:val>
            <c:numRef>
              <c:f>kontrola!$C$23:$H$23</c:f>
              <c:numCache>
                <c:formatCode>#,##0</c:formatCode>
                <c:ptCount val="6"/>
                <c:pt idx="0">
                  <c:v>1765</c:v>
                </c:pt>
                <c:pt idx="1">
                  <c:v>1612</c:v>
                </c:pt>
                <c:pt idx="2">
                  <c:v>1145</c:v>
                </c:pt>
                <c:pt idx="3">
                  <c:v>1171</c:v>
                </c:pt>
                <c:pt idx="4">
                  <c:v>1499</c:v>
                </c:pt>
                <c:pt idx="5">
                  <c:v>1539</c:v>
                </c:pt>
              </c:numCache>
            </c:numRef>
          </c:val>
          <c:extLst>
            <c:ext xmlns:c16="http://schemas.microsoft.com/office/drawing/2014/chart" uri="{C3380CC4-5D6E-409C-BE32-E72D297353CC}">
              <c16:uniqueId val="{00000001-32A1-442F-ACC6-DEE69FF0C928}"/>
            </c:ext>
          </c:extLst>
        </c:ser>
        <c:dLbls>
          <c:showLegendKey val="0"/>
          <c:showVal val="0"/>
          <c:showCatName val="0"/>
          <c:showSerName val="0"/>
          <c:showPercent val="0"/>
          <c:showBubbleSize val="0"/>
        </c:dLbls>
        <c:gapWidth val="150"/>
        <c:overlap val="-27"/>
        <c:axId val="904291648"/>
        <c:axId val="978620784"/>
      </c:barChart>
      <c:lineChart>
        <c:grouping val="standard"/>
        <c:varyColors val="0"/>
        <c:ser>
          <c:idx val="2"/>
          <c:order val="2"/>
          <c:tx>
            <c:strRef>
              <c:f>kontrola!$B$24</c:f>
              <c:strCache>
                <c:ptCount val="1"/>
                <c:pt idx="0">
                  <c:v>Úspěšnost zacílení kontrolních postupů v oblasti DPPO</c:v>
                </c:pt>
              </c:strCache>
            </c:strRef>
          </c:tx>
          <c:spPr>
            <a:ln w="28575" cap="rnd">
              <a:solidFill>
                <a:srgbClr val="2EB3A1"/>
              </a:solidFill>
              <a:round/>
            </a:ln>
            <a:effectLst/>
          </c:spPr>
          <c:marker>
            <c:symbol val="none"/>
          </c:marker>
          <c:dLbls>
            <c:numFmt formatCode="0.00_I%"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kontrola!$C$24:$H$24</c:f>
              <c:numCache>
                <c:formatCode>0.00%</c:formatCode>
                <c:ptCount val="6"/>
                <c:pt idx="0">
                  <c:v>0.48180000000000001</c:v>
                </c:pt>
                <c:pt idx="1">
                  <c:v>0.48159999999999997</c:v>
                </c:pt>
                <c:pt idx="2">
                  <c:v>0.51249999999999996</c:v>
                </c:pt>
                <c:pt idx="3">
                  <c:v>0.51770000000000005</c:v>
                </c:pt>
                <c:pt idx="4">
                  <c:v>0.52990000000000004</c:v>
                </c:pt>
                <c:pt idx="5">
                  <c:v>0.54710000000000003</c:v>
                </c:pt>
              </c:numCache>
            </c:numRef>
          </c:val>
          <c:smooth val="0"/>
          <c:extLst>
            <c:ext xmlns:c16="http://schemas.microsoft.com/office/drawing/2014/chart" uri="{C3380CC4-5D6E-409C-BE32-E72D297353CC}">
              <c16:uniqueId val="{00000002-32A1-442F-ACC6-DEE69FF0C928}"/>
            </c:ext>
          </c:extLst>
        </c:ser>
        <c:dLbls>
          <c:showLegendKey val="0"/>
          <c:showVal val="0"/>
          <c:showCatName val="0"/>
          <c:showSerName val="0"/>
          <c:showPercent val="0"/>
          <c:showBubbleSize val="0"/>
        </c:dLbls>
        <c:marker val="1"/>
        <c:smooth val="0"/>
        <c:axId val="918280640"/>
        <c:axId val="978604560"/>
      </c:lineChart>
      <c:catAx>
        <c:axId val="90429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8620784"/>
        <c:crosses val="autoZero"/>
        <c:auto val="1"/>
        <c:lblAlgn val="ctr"/>
        <c:lblOffset val="100"/>
        <c:noMultiLvlLbl val="0"/>
      </c:catAx>
      <c:valAx>
        <c:axId val="978620784"/>
        <c:scaling>
          <c:orientation val="minMax"/>
          <c:max val="6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400" b="0" i="0" u="none" strike="noStrike" kern="1200" baseline="0">
                <a:solidFill>
                  <a:schemeClr val="bg1"/>
                </a:solidFill>
                <a:latin typeface="+mn-lt"/>
                <a:ea typeface="+mn-ea"/>
                <a:cs typeface="+mn-cs"/>
              </a:defRPr>
            </a:pPr>
            <a:endParaRPr lang="cs-CZ"/>
          </a:p>
        </c:txPr>
        <c:crossAx val="904291648"/>
        <c:crosses val="autoZero"/>
        <c:crossBetween val="between"/>
      </c:valAx>
      <c:valAx>
        <c:axId val="978604560"/>
        <c:scaling>
          <c:orientation val="minMax"/>
          <c:max val="0.56000000000000005"/>
          <c:min val="0.24000000000000002"/>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400" b="0" i="0" u="none" strike="noStrike" kern="1200" baseline="0">
                <a:solidFill>
                  <a:schemeClr val="bg1"/>
                </a:solidFill>
                <a:latin typeface="+mn-lt"/>
                <a:ea typeface="+mn-ea"/>
                <a:cs typeface="+mn-cs"/>
              </a:defRPr>
            </a:pPr>
            <a:endParaRPr lang="cs-CZ"/>
          </a:p>
        </c:txPr>
        <c:crossAx val="918280640"/>
        <c:crosses val="max"/>
        <c:crossBetween val="between"/>
      </c:valAx>
      <c:catAx>
        <c:axId val="918280640"/>
        <c:scaling>
          <c:orientation val="minMax"/>
        </c:scaling>
        <c:delete val="1"/>
        <c:axPos val="b"/>
        <c:majorTickMark val="out"/>
        <c:minorTickMark val="none"/>
        <c:tickLblPos val="nextTo"/>
        <c:crossAx val="978604560"/>
        <c:crossesAt val="0"/>
        <c:auto val="1"/>
        <c:lblAlgn val="ctr"/>
        <c:lblOffset val="100"/>
        <c:noMultiLvlLbl val="0"/>
      </c:catAx>
      <c:spPr>
        <a:noFill/>
        <a:ln>
          <a:noFill/>
        </a:ln>
        <a:effectLst/>
      </c:spPr>
    </c:plotArea>
    <c:legend>
      <c:legendPos val="b"/>
      <c:layout>
        <c:manualLayout>
          <c:xMode val="edge"/>
          <c:yMode val="edge"/>
          <c:x val="0.18580090683109055"/>
          <c:y val="0.75336480470079437"/>
          <c:w val="0.66808055243094611"/>
          <c:h val="0.226614682573675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spcBef>
          <a:spcPts val="0"/>
        </a:spcBef>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679607690720562E-2"/>
          <c:y val="3.3220071200814022E-2"/>
          <c:w val="0.94209495172380264"/>
          <c:h val="0.67321110650642357"/>
        </c:manualLayout>
      </c:layout>
      <c:barChart>
        <c:barDir val="col"/>
        <c:grouping val="clustered"/>
        <c:varyColors val="0"/>
        <c:ser>
          <c:idx val="0"/>
          <c:order val="0"/>
          <c:tx>
            <c:strRef>
              <c:f>'Graf č. 4 - vymáhání'!$B$3</c:f>
              <c:strCache>
                <c:ptCount val="1"/>
                <c:pt idx="0">
                  <c:v>Vymáhané daňové nedoplatky na DPPO k 31. 12. v mil. Kč</c:v>
                </c:pt>
              </c:strCache>
            </c:strRef>
          </c:tx>
          <c:spPr>
            <a:solidFill>
              <a:srgbClr val="2EB3A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 č. 4 - vymáhání'!$C$2:$H$2</c:f>
              <c:numCache>
                <c:formatCode>General</c:formatCode>
                <c:ptCount val="6"/>
                <c:pt idx="0">
                  <c:v>2018</c:v>
                </c:pt>
                <c:pt idx="1">
                  <c:v>2019</c:v>
                </c:pt>
                <c:pt idx="2">
                  <c:v>2020</c:v>
                </c:pt>
                <c:pt idx="3">
                  <c:v>2021</c:v>
                </c:pt>
                <c:pt idx="4">
                  <c:v>2022</c:v>
                </c:pt>
                <c:pt idx="5">
                  <c:v>2023</c:v>
                </c:pt>
              </c:numCache>
            </c:numRef>
          </c:cat>
          <c:val>
            <c:numRef>
              <c:f>'Graf č. 4 - vymáhání'!$C$3:$H$3</c:f>
              <c:numCache>
                <c:formatCode>#,##0</c:formatCode>
                <c:ptCount val="6"/>
                <c:pt idx="0">
                  <c:v>3974.826</c:v>
                </c:pt>
                <c:pt idx="1">
                  <c:v>3420.2919999999999</c:v>
                </c:pt>
                <c:pt idx="2">
                  <c:v>3543.14</c:v>
                </c:pt>
                <c:pt idx="3">
                  <c:v>3624.1439999999998</c:v>
                </c:pt>
                <c:pt idx="4">
                  <c:v>3335.5140000000001</c:v>
                </c:pt>
                <c:pt idx="5">
                  <c:v>4124.2910000000002</c:v>
                </c:pt>
              </c:numCache>
            </c:numRef>
          </c:val>
          <c:extLst>
            <c:ext xmlns:c16="http://schemas.microsoft.com/office/drawing/2014/chart" uri="{C3380CC4-5D6E-409C-BE32-E72D297353CC}">
              <c16:uniqueId val="{00000000-BDA4-42A6-B988-12784B68DC91}"/>
            </c:ext>
          </c:extLst>
        </c:ser>
        <c:ser>
          <c:idx val="1"/>
          <c:order val="1"/>
          <c:tx>
            <c:strRef>
              <c:f>'Graf č. 4 - vymáhání'!$B$4</c:f>
              <c:strCache>
                <c:ptCount val="1"/>
                <c:pt idx="0">
                  <c:v>Vymožené daňové nedoplatky na DPPO vymáhacími úkony v roce (od 1. 1. do 31. 12.) v mil. Kč*</c:v>
                </c:pt>
              </c:strCache>
            </c:strRef>
          </c:tx>
          <c:spPr>
            <a:solidFill>
              <a:srgbClr val="C2E2D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 č. 4 - vymáhání'!$C$2:$H$2</c:f>
              <c:numCache>
                <c:formatCode>General</c:formatCode>
                <c:ptCount val="6"/>
                <c:pt idx="0">
                  <c:v>2018</c:v>
                </c:pt>
                <c:pt idx="1">
                  <c:v>2019</c:v>
                </c:pt>
                <c:pt idx="2">
                  <c:v>2020</c:v>
                </c:pt>
                <c:pt idx="3">
                  <c:v>2021</c:v>
                </c:pt>
                <c:pt idx="4">
                  <c:v>2022</c:v>
                </c:pt>
                <c:pt idx="5">
                  <c:v>2023</c:v>
                </c:pt>
              </c:numCache>
            </c:numRef>
          </c:cat>
          <c:val>
            <c:numRef>
              <c:f>'Graf č. 4 - vymáhání'!$C$4:$H$4</c:f>
              <c:numCache>
                <c:formatCode>#,##0</c:formatCode>
                <c:ptCount val="6"/>
                <c:pt idx="0">
                  <c:v>470.565</c:v>
                </c:pt>
                <c:pt idx="1">
                  <c:v>585.69600000000003</c:v>
                </c:pt>
                <c:pt idx="2">
                  <c:v>214.05500000000001</c:v>
                </c:pt>
                <c:pt idx="3">
                  <c:v>289.69</c:v>
                </c:pt>
                <c:pt idx="4">
                  <c:v>478.60899999999998</c:v>
                </c:pt>
                <c:pt idx="5">
                  <c:v>707.82</c:v>
                </c:pt>
              </c:numCache>
            </c:numRef>
          </c:val>
          <c:extLst>
            <c:ext xmlns:c16="http://schemas.microsoft.com/office/drawing/2014/chart" uri="{C3380CC4-5D6E-409C-BE32-E72D297353CC}">
              <c16:uniqueId val="{00000001-BDA4-42A6-B988-12784B68DC91}"/>
            </c:ext>
          </c:extLst>
        </c:ser>
        <c:dLbls>
          <c:showLegendKey val="0"/>
          <c:showVal val="0"/>
          <c:showCatName val="0"/>
          <c:showSerName val="0"/>
          <c:showPercent val="0"/>
          <c:showBubbleSize val="0"/>
        </c:dLbls>
        <c:gapWidth val="80"/>
        <c:overlap val="-7"/>
        <c:axId val="96159471"/>
        <c:axId val="228226223"/>
      </c:barChart>
      <c:lineChart>
        <c:grouping val="standard"/>
        <c:varyColors val="0"/>
        <c:ser>
          <c:idx val="2"/>
          <c:order val="2"/>
          <c:tx>
            <c:strRef>
              <c:f>'Graf č. 4 - vymáhání'!$B$5</c:f>
              <c:strCache>
                <c:ptCount val="1"/>
                <c:pt idx="0">
                  <c:v>Úspěšnost vymáhání daňových nedoplatků na DPPO vymáhacími úkony</c:v>
                </c:pt>
              </c:strCache>
            </c:strRef>
          </c:tx>
          <c:spPr>
            <a:ln w="28575" cap="rnd">
              <a:solidFill>
                <a:srgbClr val="FDC300"/>
              </a:solidFill>
              <a:round/>
            </a:ln>
            <a:effectLst/>
          </c:spPr>
          <c:marker>
            <c:symbol val="none"/>
          </c:marker>
          <c:dLbls>
            <c:dLbl>
              <c:idx val="2"/>
              <c:layout>
                <c:manualLayout>
                  <c:x val="-2.8290482634190348E-2"/>
                  <c:y val="-4.15897396509298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A4-42A6-B988-12784B68DC91}"/>
                </c:ext>
              </c:extLst>
            </c:dLbl>
            <c:numFmt formatCode="0.00_I%"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 č. 4 - vymáhání'!$C$2:$H$2</c:f>
              <c:numCache>
                <c:formatCode>General</c:formatCode>
                <c:ptCount val="6"/>
                <c:pt idx="0">
                  <c:v>2018</c:v>
                </c:pt>
                <c:pt idx="1">
                  <c:v>2019</c:v>
                </c:pt>
                <c:pt idx="2">
                  <c:v>2020</c:v>
                </c:pt>
                <c:pt idx="3">
                  <c:v>2021</c:v>
                </c:pt>
                <c:pt idx="4">
                  <c:v>2022</c:v>
                </c:pt>
                <c:pt idx="5">
                  <c:v>2023</c:v>
                </c:pt>
              </c:numCache>
            </c:numRef>
          </c:cat>
          <c:val>
            <c:numRef>
              <c:f>'Graf č. 4 - vymáhání'!$C$5:$H$5</c:f>
              <c:numCache>
                <c:formatCode>0.00%</c:formatCode>
                <c:ptCount val="6"/>
                <c:pt idx="0">
                  <c:v>0.11840000000000001</c:v>
                </c:pt>
                <c:pt idx="1">
                  <c:v>0.17119999999999999</c:v>
                </c:pt>
                <c:pt idx="2">
                  <c:v>6.0400000000000002E-2</c:v>
                </c:pt>
                <c:pt idx="3">
                  <c:v>7.9899999999999999E-2</c:v>
                </c:pt>
                <c:pt idx="4">
                  <c:v>0.14349999999999999</c:v>
                </c:pt>
                <c:pt idx="5">
                  <c:v>0.1716</c:v>
                </c:pt>
              </c:numCache>
            </c:numRef>
          </c:val>
          <c:smooth val="0"/>
          <c:extLst>
            <c:ext xmlns:c16="http://schemas.microsoft.com/office/drawing/2014/chart" uri="{C3380CC4-5D6E-409C-BE32-E72D297353CC}">
              <c16:uniqueId val="{00000003-BDA4-42A6-B988-12784B68DC91}"/>
            </c:ext>
          </c:extLst>
        </c:ser>
        <c:dLbls>
          <c:showLegendKey val="0"/>
          <c:showVal val="0"/>
          <c:showCatName val="0"/>
          <c:showSerName val="0"/>
          <c:showPercent val="0"/>
          <c:showBubbleSize val="0"/>
        </c:dLbls>
        <c:marker val="1"/>
        <c:smooth val="0"/>
        <c:axId val="96173071"/>
        <c:axId val="228242863"/>
      </c:lineChart>
      <c:catAx>
        <c:axId val="96159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8226223"/>
        <c:crosses val="autoZero"/>
        <c:auto val="1"/>
        <c:lblAlgn val="ctr"/>
        <c:lblOffset val="100"/>
        <c:noMultiLvlLbl val="0"/>
      </c:catAx>
      <c:valAx>
        <c:axId val="228226223"/>
        <c:scaling>
          <c:orientation val="minMax"/>
          <c:max val="6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200" b="0" i="0" u="none" strike="noStrike" kern="1200" baseline="0">
                <a:solidFill>
                  <a:schemeClr val="bg1"/>
                </a:solidFill>
                <a:latin typeface="+mn-lt"/>
                <a:ea typeface="+mn-ea"/>
                <a:cs typeface="+mn-cs"/>
              </a:defRPr>
            </a:pPr>
            <a:endParaRPr lang="cs-CZ"/>
          </a:p>
        </c:txPr>
        <c:crossAx val="96159471"/>
        <c:crosses val="autoZero"/>
        <c:crossBetween val="between"/>
      </c:valAx>
      <c:valAx>
        <c:axId val="228242863"/>
        <c:scaling>
          <c:orientation val="minMax"/>
          <c:max val="0.19000000000000003"/>
          <c:min val="-0.2"/>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400" b="0" i="0" u="none" strike="noStrike" kern="1200" baseline="0">
                <a:solidFill>
                  <a:schemeClr val="bg1"/>
                </a:solidFill>
                <a:latin typeface="+mn-lt"/>
                <a:ea typeface="+mn-ea"/>
                <a:cs typeface="+mn-cs"/>
              </a:defRPr>
            </a:pPr>
            <a:endParaRPr lang="cs-CZ"/>
          </a:p>
        </c:txPr>
        <c:crossAx val="96173071"/>
        <c:crosses val="max"/>
        <c:crossBetween val="between"/>
      </c:valAx>
      <c:catAx>
        <c:axId val="96173071"/>
        <c:scaling>
          <c:orientation val="minMax"/>
        </c:scaling>
        <c:delete val="1"/>
        <c:axPos val="b"/>
        <c:numFmt formatCode="General" sourceLinked="1"/>
        <c:majorTickMark val="out"/>
        <c:minorTickMark val="none"/>
        <c:tickLblPos val="nextTo"/>
        <c:crossAx val="228242863"/>
        <c:crosses val="autoZero"/>
        <c:auto val="1"/>
        <c:lblAlgn val="ctr"/>
        <c:lblOffset val="100"/>
        <c:noMultiLvlLbl val="0"/>
      </c:catAx>
      <c:spPr>
        <a:noFill/>
        <a:ln>
          <a:noFill/>
        </a:ln>
        <a:effectLst/>
      </c:spPr>
    </c:plotArea>
    <c:legend>
      <c:legendPos val="b"/>
      <c:layout>
        <c:manualLayout>
          <c:xMode val="edge"/>
          <c:yMode val="edge"/>
          <c:x val="7.1495125505960419E-2"/>
          <c:y val="0.79315640281806876"/>
          <c:w val="0.86362423471181415"/>
          <c:h val="0.19000149191877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65384646068178E-2"/>
          <c:y val="2.1417507058059546E-2"/>
          <c:w val="0.85164460825375554"/>
          <c:h val="0.69094158122026517"/>
        </c:manualLayout>
      </c:layout>
      <c:barChart>
        <c:barDir val="col"/>
        <c:grouping val="clustered"/>
        <c:varyColors val="0"/>
        <c:ser>
          <c:idx val="0"/>
          <c:order val="0"/>
          <c:tx>
            <c:strRef>
              <c:f>'Graf č. 5 - efektivnost'!$A$4</c:f>
              <c:strCache>
                <c:ptCount val="1"/>
                <c:pt idx="0">
                  <c:v>Inkaso DPPO v mil. Kč</c:v>
                </c:pt>
              </c:strCache>
            </c:strRef>
          </c:tx>
          <c:spPr>
            <a:solidFill>
              <a:srgbClr val="2EB3A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60" b="1"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 č. 5 - efektivnost'!$B$3:$G$3</c:f>
              <c:numCache>
                <c:formatCode>General</c:formatCode>
                <c:ptCount val="6"/>
                <c:pt idx="0">
                  <c:v>2018</c:v>
                </c:pt>
                <c:pt idx="1">
                  <c:v>2019</c:v>
                </c:pt>
                <c:pt idx="2">
                  <c:v>2020</c:v>
                </c:pt>
                <c:pt idx="3">
                  <c:v>2021</c:v>
                </c:pt>
                <c:pt idx="4">
                  <c:v>2022</c:v>
                </c:pt>
                <c:pt idx="5">
                  <c:v>2023</c:v>
                </c:pt>
              </c:numCache>
            </c:numRef>
          </c:cat>
          <c:val>
            <c:numRef>
              <c:f>'Graf č. 5 - efektivnost'!$B$4:$G$4</c:f>
              <c:numCache>
                <c:formatCode>#,##0</c:formatCode>
                <c:ptCount val="6"/>
                <c:pt idx="0">
                  <c:v>174008</c:v>
                </c:pt>
                <c:pt idx="1">
                  <c:v>182897.6</c:v>
                </c:pt>
                <c:pt idx="2">
                  <c:v>160550.9</c:v>
                </c:pt>
                <c:pt idx="3">
                  <c:v>200565.5</c:v>
                </c:pt>
                <c:pt idx="4">
                  <c:v>235345.8</c:v>
                </c:pt>
                <c:pt idx="5">
                  <c:v>313250.2</c:v>
                </c:pt>
              </c:numCache>
            </c:numRef>
          </c:val>
          <c:extLst>
            <c:ext xmlns:c16="http://schemas.microsoft.com/office/drawing/2014/chart" uri="{C3380CC4-5D6E-409C-BE32-E72D297353CC}">
              <c16:uniqueId val="{00000000-0F06-48E4-BE1A-75A27342957E}"/>
            </c:ext>
          </c:extLst>
        </c:ser>
        <c:ser>
          <c:idx val="1"/>
          <c:order val="1"/>
          <c:tx>
            <c:strRef>
              <c:f>'Graf č. 5 - efektivnost'!$A$5</c:f>
              <c:strCache>
                <c:ptCount val="1"/>
                <c:pt idx="0">
                  <c:v>Celkové výdaje vynaložené na správu DPPO v mil. Kč</c:v>
                </c:pt>
              </c:strCache>
            </c:strRef>
          </c:tx>
          <c:spPr>
            <a:solidFill>
              <a:srgbClr val="AF1953"/>
            </a:solidFill>
            <a:ln>
              <a:noFill/>
            </a:ln>
            <a:effectLst/>
          </c:spPr>
          <c:invertIfNegative val="0"/>
          <c:dLbls>
            <c:dLbl>
              <c:idx val="0"/>
              <c:tx>
                <c:rich>
                  <a:bodyPr/>
                  <a:lstStyle/>
                  <a:p>
                    <a:fld id="{021178D8-57A0-4AE7-8A84-2F0CA52F5463}" type="CELLREF">
                      <a:rPr lang="en-US"/>
                      <a:pPr/>
                      <a:t>[ODKAZ NA BUŇKU]</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{021178D8-57A0-4AE7-8A84-2F0CA52F5463}</c15:txfldGUID>
                      <c15:f>'Graf č. 5 - efektivnost'!$B$5</c15:f>
                      <c15:dlblFieldTableCache>
                        <c:ptCount val="1"/>
                        <c:pt idx="0">
                          <c:v>1 633</c:v>
                        </c:pt>
                      </c15:dlblFieldTableCache>
                    </c15:dlblFTEntry>
                  </c15:dlblFieldTable>
                  <c15:showDataLabelsRange val="0"/>
                </c:ext>
                <c:ext xmlns:c16="http://schemas.microsoft.com/office/drawing/2014/chart" uri="{C3380CC4-5D6E-409C-BE32-E72D297353CC}">
                  <c16:uniqueId val="{00000001-0F06-48E4-BE1A-75A27342957E}"/>
                </c:ext>
              </c:extLst>
            </c:dLbl>
            <c:dLbl>
              <c:idx val="1"/>
              <c:tx>
                <c:rich>
                  <a:bodyPr/>
                  <a:lstStyle/>
                  <a:p>
                    <a:fld id="{8F9CD731-012D-430E-AC32-938F89872B58}" type="CELLREF">
                      <a:rPr lang="en-US"/>
                      <a:pPr/>
                      <a:t>[ODKAZ NA BUŇKU]</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{8F9CD731-012D-430E-AC32-938F89872B58}</c15:txfldGUID>
                      <c15:f>'Graf č. 5 - efektivnost'!$C$5</c15:f>
                      <c15:dlblFieldTableCache>
                        <c:ptCount val="1"/>
                        <c:pt idx="0">
                          <c:v>1 710</c:v>
                        </c:pt>
                      </c15:dlblFieldTableCache>
                    </c15:dlblFTEntry>
                  </c15:dlblFieldTable>
                  <c15:showDataLabelsRange val="0"/>
                </c:ext>
                <c:ext xmlns:c16="http://schemas.microsoft.com/office/drawing/2014/chart" uri="{C3380CC4-5D6E-409C-BE32-E72D297353CC}">
                  <c16:uniqueId val="{00000002-0F06-48E4-BE1A-75A27342957E}"/>
                </c:ext>
              </c:extLst>
            </c:dLbl>
            <c:dLbl>
              <c:idx val="2"/>
              <c:tx>
                <c:rich>
                  <a:bodyPr/>
                  <a:lstStyle/>
                  <a:p>
                    <a:fld id="{271B23EA-C491-48CB-B259-7813B90812C6}" type="CELLREF">
                      <a:rPr lang="en-US"/>
                      <a:pPr/>
                      <a:t>[ODKAZ NA BUŇKU]</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{271B23EA-C491-48CB-B259-7813B90812C6}</c15:txfldGUID>
                      <c15:f>'Graf č. 5 - efektivnost'!$D$5</c15:f>
                      <c15:dlblFieldTableCache>
                        <c:ptCount val="1"/>
                        <c:pt idx="0">
                          <c:v>1 862</c:v>
                        </c:pt>
                      </c15:dlblFieldTableCache>
                    </c15:dlblFTEntry>
                  </c15:dlblFieldTable>
                  <c15:showDataLabelsRange val="0"/>
                </c:ext>
                <c:ext xmlns:c16="http://schemas.microsoft.com/office/drawing/2014/chart" uri="{C3380CC4-5D6E-409C-BE32-E72D297353CC}">
                  <c16:uniqueId val="{00000003-0F06-48E4-BE1A-75A27342957E}"/>
                </c:ext>
              </c:extLst>
            </c:dLbl>
            <c:dLbl>
              <c:idx val="3"/>
              <c:tx>
                <c:rich>
                  <a:bodyPr/>
                  <a:lstStyle/>
                  <a:p>
                    <a:fld id="{A5B35E0C-1DB8-4889-9420-45B8B453F9B1}" type="CELLREF">
                      <a:rPr lang="en-US"/>
                      <a:pPr/>
                      <a:t>[ODKAZ NA BUŇKU]</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{A5B35E0C-1DB8-4889-9420-45B8B453F9B1}</c15:txfldGUID>
                      <c15:f>'Graf č. 5 - efektivnost'!$E$5</c15:f>
                      <c15:dlblFieldTableCache>
                        <c:ptCount val="1"/>
                        <c:pt idx="0">
                          <c:v>1 886</c:v>
                        </c:pt>
                      </c15:dlblFieldTableCache>
                    </c15:dlblFTEntry>
                  </c15:dlblFieldTable>
                  <c15:showDataLabelsRange val="0"/>
                </c:ext>
                <c:ext xmlns:c16="http://schemas.microsoft.com/office/drawing/2014/chart" uri="{C3380CC4-5D6E-409C-BE32-E72D297353CC}">
                  <c16:uniqueId val="{00000004-0F06-48E4-BE1A-75A27342957E}"/>
                </c:ext>
              </c:extLst>
            </c:dLbl>
            <c:dLbl>
              <c:idx val="4"/>
              <c:tx>
                <c:rich>
                  <a:bodyPr/>
                  <a:lstStyle/>
                  <a:p>
                    <a:fld id="{A9FA4FF7-BD90-456F-A5FB-D67672BF0DCB}" type="CELLREF">
                      <a:rPr lang="en-US"/>
                      <a:pPr/>
                      <a:t>[ODKAZ NA BUŇKU]</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{A9FA4FF7-BD90-456F-A5FB-D67672BF0DCB}</c15:txfldGUID>
                      <c15:f>'Graf č. 5 - efektivnost'!$F$5</c15:f>
                      <c15:dlblFieldTableCache>
                        <c:ptCount val="1"/>
                        <c:pt idx="0">
                          <c:v>1 948</c:v>
                        </c:pt>
                      </c15:dlblFieldTableCache>
                    </c15:dlblFTEntry>
                  </c15:dlblFieldTable>
                  <c15:showDataLabelsRange val="0"/>
                </c:ext>
                <c:ext xmlns:c16="http://schemas.microsoft.com/office/drawing/2014/chart" uri="{C3380CC4-5D6E-409C-BE32-E72D297353CC}">
                  <c16:uniqueId val="{00000005-0F06-48E4-BE1A-75A27342957E}"/>
                </c:ext>
              </c:extLst>
            </c:dLbl>
            <c:dLbl>
              <c:idx val="5"/>
              <c:tx>
                <c:rich>
                  <a:bodyPr/>
                  <a:lstStyle/>
                  <a:p>
                    <a:fld id="{13DA11CF-FC8E-4A27-9F1F-1642B849DD9F}" type="CELLREF">
                      <a:rPr lang="en-US"/>
                      <a:pPr/>
                      <a:t>[ODKAZ NA BUŇKU]</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{13DA11CF-FC8E-4A27-9F1F-1642B849DD9F}</c15:txfldGUID>
                      <c15:f>'Graf č. 5 - efektivnost'!$G$5</c15:f>
                      <c15:dlblFieldTableCache>
                        <c:ptCount val="1"/>
                        <c:pt idx="0">
                          <c:v>1 922</c:v>
                        </c:pt>
                      </c15:dlblFieldTableCache>
                    </c15:dlblFTEntry>
                  </c15:dlblFieldTable>
                  <c15:showDataLabelsRange val="0"/>
                </c:ext>
                <c:ext xmlns:c16="http://schemas.microsoft.com/office/drawing/2014/chart" uri="{C3380CC4-5D6E-409C-BE32-E72D297353CC}">
                  <c16:uniqueId val="{00000006-0F06-48E4-BE1A-75A27342957E}"/>
                </c:ext>
              </c:extLst>
            </c:dLbl>
            <c:spPr>
              <a:noFill/>
              <a:ln>
                <a:noFill/>
              </a:ln>
              <a:effectLst/>
            </c:spPr>
            <c:txPr>
              <a:bodyPr rot="0" spcFirstLastPara="1" vertOverflow="ellipsis" vert="horz" wrap="square" lIns="38100" tIns="19050" rIns="38100" bIns="19050" anchor="ctr" anchorCtr="1">
                <a:spAutoFit/>
              </a:bodyPr>
              <a:lstStyle/>
              <a:p>
                <a:pPr>
                  <a:defRPr sz="76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 č. 5 - efektivnost'!$B$3:$G$3</c:f>
              <c:numCache>
                <c:formatCode>General</c:formatCode>
                <c:ptCount val="6"/>
                <c:pt idx="0">
                  <c:v>2018</c:v>
                </c:pt>
                <c:pt idx="1">
                  <c:v>2019</c:v>
                </c:pt>
                <c:pt idx="2">
                  <c:v>2020</c:v>
                </c:pt>
                <c:pt idx="3">
                  <c:v>2021</c:v>
                </c:pt>
                <c:pt idx="4">
                  <c:v>2022</c:v>
                </c:pt>
                <c:pt idx="5">
                  <c:v>2023</c:v>
                </c:pt>
              </c:numCache>
            </c:numRef>
          </c:cat>
          <c:val>
            <c:numRef>
              <c:f>'Graf č. 5 - efektivnost'!$I$5:$N$5</c:f>
              <c:numCache>
                <c:formatCode>#,##0</c:formatCode>
                <c:ptCount val="6"/>
                <c:pt idx="0">
                  <c:v>11633.2</c:v>
                </c:pt>
                <c:pt idx="1">
                  <c:v>11710.4</c:v>
                </c:pt>
                <c:pt idx="2">
                  <c:v>11862.1</c:v>
                </c:pt>
                <c:pt idx="3">
                  <c:v>11885.6</c:v>
                </c:pt>
                <c:pt idx="4">
                  <c:v>11948.3</c:v>
                </c:pt>
                <c:pt idx="5">
                  <c:v>11921.6</c:v>
                </c:pt>
              </c:numCache>
            </c:numRef>
          </c:val>
          <c:extLst>
            <c:ext xmlns:c16="http://schemas.microsoft.com/office/drawing/2014/chart" uri="{C3380CC4-5D6E-409C-BE32-E72D297353CC}">
              <c16:uniqueId val="{00000007-0F06-48E4-BE1A-75A27342957E}"/>
            </c:ext>
          </c:extLst>
        </c:ser>
        <c:dLbls>
          <c:showLegendKey val="0"/>
          <c:showVal val="0"/>
          <c:showCatName val="0"/>
          <c:showSerName val="0"/>
          <c:showPercent val="0"/>
          <c:showBubbleSize val="0"/>
        </c:dLbls>
        <c:gapWidth val="33"/>
        <c:overlap val="-27"/>
        <c:axId val="355302432"/>
        <c:axId val="1073834384"/>
      </c:barChart>
      <c:lineChart>
        <c:grouping val="standard"/>
        <c:varyColors val="0"/>
        <c:ser>
          <c:idx val="2"/>
          <c:order val="2"/>
          <c:tx>
            <c:strRef>
              <c:f>'Graf č. 5 - efektivnost'!$A$6</c:f>
              <c:strCache>
                <c:ptCount val="1"/>
                <c:pt idx="0">
                  <c:v>Nákladová efektivnost správy DPPO v Kč</c:v>
                </c:pt>
              </c:strCache>
            </c:strRef>
          </c:tx>
          <c:spPr>
            <a:ln w="28575" cap="rnd">
              <a:solidFill>
                <a:srgbClr val="FDC300"/>
              </a:solidFill>
              <a:round/>
            </a:ln>
            <a:effectLst/>
          </c:spPr>
          <c:marker>
            <c:symbol val="none"/>
          </c:marker>
          <c:dLbls>
            <c:dLbl>
              <c:idx val="0"/>
              <c:layout>
                <c:manualLayout>
                  <c:x val="-2.8368794326241134E-2"/>
                  <c:y val="-3.304419231407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F06-48E4-BE1A-75A27342957E}"/>
                </c:ext>
              </c:extLst>
            </c:dLbl>
            <c:dLbl>
              <c:idx val="1"/>
              <c:layout>
                <c:manualLayout>
                  <c:x val="-3.4940160292090586E-2"/>
                  <c:y val="-2.6903410598045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F06-48E4-BE1A-75A27342957E}"/>
                </c:ext>
              </c:extLst>
            </c:dLbl>
            <c:dLbl>
              <c:idx val="2"/>
              <c:layout>
                <c:manualLayout>
                  <c:x val="-3.0395168305573723E-2"/>
                  <c:y val="-3.00517769925316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F06-48E4-BE1A-75A27342957E}"/>
                </c:ext>
              </c:extLst>
            </c:dLbl>
            <c:dLbl>
              <c:idx val="3"/>
              <c:layout>
                <c:manualLayout>
                  <c:x val="-1.4184397163120567E-2"/>
                  <c:y val="-3.304419231407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F06-48E4-BE1A-75A27342957E}"/>
                </c:ext>
              </c:extLst>
            </c:dLbl>
            <c:dLbl>
              <c:idx val="4"/>
              <c:layout>
                <c:manualLayout>
                  <c:x val="-2.4316109422492401E-2"/>
                  <c:y val="-3.304419231407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F06-48E4-BE1A-75A27342957E}"/>
                </c:ext>
              </c:extLst>
            </c:dLbl>
            <c:dLbl>
              <c:idx val="5"/>
              <c:layout>
                <c:manualLayout>
                  <c:x val="-3.242147922998987E-2"/>
                  <c:y val="-3.304419231407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F06-48E4-BE1A-75A2734295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 č. 5 - efektivnost'!$B$6:$G$6</c:f>
              <c:numCache>
                <c:formatCode>General</c:formatCode>
                <c:ptCount val="6"/>
                <c:pt idx="0">
                  <c:v>0.94</c:v>
                </c:pt>
                <c:pt idx="1">
                  <c:v>0.94</c:v>
                </c:pt>
                <c:pt idx="2">
                  <c:v>1.1599999999999999</c:v>
                </c:pt>
                <c:pt idx="3">
                  <c:v>0.94</c:v>
                </c:pt>
                <c:pt idx="4">
                  <c:v>0.83</c:v>
                </c:pt>
                <c:pt idx="5">
                  <c:v>0.61</c:v>
                </c:pt>
              </c:numCache>
            </c:numRef>
          </c:val>
          <c:smooth val="0"/>
          <c:extLst>
            <c:ext xmlns:c16="http://schemas.microsoft.com/office/drawing/2014/chart" uri="{C3380CC4-5D6E-409C-BE32-E72D297353CC}">
              <c16:uniqueId val="{0000000E-0F06-48E4-BE1A-75A27342957E}"/>
            </c:ext>
          </c:extLst>
        </c:ser>
        <c:dLbls>
          <c:showLegendKey val="0"/>
          <c:showVal val="0"/>
          <c:showCatName val="0"/>
          <c:showSerName val="0"/>
          <c:showPercent val="0"/>
          <c:showBubbleSize val="0"/>
        </c:dLbls>
        <c:marker val="1"/>
        <c:smooth val="0"/>
        <c:axId val="908351104"/>
        <c:axId val="1073842704"/>
      </c:lineChart>
      <c:catAx>
        <c:axId val="35530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3834384"/>
        <c:crosses val="autoZero"/>
        <c:auto val="1"/>
        <c:lblAlgn val="ctr"/>
        <c:lblOffset val="100"/>
        <c:noMultiLvlLbl val="0"/>
      </c:catAx>
      <c:valAx>
        <c:axId val="1073834384"/>
        <c:scaling>
          <c:orientation val="minMax"/>
          <c:max val="550000"/>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crossAx val="355302432"/>
        <c:crosses val="autoZero"/>
        <c:crossBetween val="between"/>
      </c:valAx>
      <c:valAx>
        <c:axId val="1073842704"/>
        <c:scaling>
          <c:orientation val="minMax"/>
          <c:min val="-1"/>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crossAx val="908351104"/>
        <c:crosses val="max"/>
        <c:crossBetween val="between"/>
      </c:valAx>
      <c:catAx>
        <c:axId val="908351104"/>
        <c:scaling>
          <c:orientation val="minMax"/>
        </c:scaling>
        <c:delete val="1"/>
        <c:axPos val="b"/>
        <c:majorTickMark val="out"/>
        <c:minorTickMark val="none"/>
        <c:tickLblPos val="nextTo"/>
        <c:crossAx val="1073842704"/>
        <c:crosses val="autoZero"/>
        <c:auto val="1"/>
        <c:lblAlgn val="ctr"/>
        <c:lblOffset val="100"/>
        <c:noMultiLvlLbl val="0"/>
      </c:catAx>
      <c:spPr>
        <a:noFill/>
        <a:ln>
          <a:noFill/>
        </a:ln>
        <a:effectLst/>
      </c:spPr>
    </c:plotArea>
    <c:legend>
      <c:legendPos val="b"/>
      <c:layout>
        <c:manualLayout>
          <c:xMode val="edge"/>
          <c:yMode val="edge"/>
          <c:x val="0.14795563748975823"/>
          <c:y val="0.79885750779495301"/>
          <c:w val="0.71832992114351302"/>
          <c:h val="0.170512893336178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A5E8D0B058C94FB642EE273459E334" ma:contentTypeVersion="1" ma:contentTypeDescription="Vytvoří nový dokument" ma:contentTypeScope="" ma:versionID="9e296489b9ac813572fda8efb92f2481">
  <xsd:schema xmlns:xsd="http://www.w3.org/2001/XMLSchema" xmlns:xs="http://www.w3.org/2001/XMLSchema" xmlns:p="http://schemas.microsoft.com/office/2006/metadata/properties" xmlns:ns1="http://schemas.microsoft.com/sharepoint/v3" targetNamespace="http://schemas.microsoft.com/office/2006/metadata/properties" ma:root="true" ma:fieldsID="04ff3139d6f164adeb8f28ede371ab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087D-42A0-49DE-A184-DEE8A0905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6082F-280D-43E7-8123-957A36FDEEF4}">
  <ds:schemaRefs>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778F1B2-DCC4-4AF2-A694-30875346727C}">
  <ds:schemaRefs>
    <ds:schemaRef ds:uri="http://schemas.microsoft.com/sharepoint/v3/contenttype/forms"/>
  </ds:schemaRefs>
</ds:datastoreItem>
</file>

<file path=customXml/itemProps4.xml><?xml version="1.0" encoding="utf-8"?>
<ds:datastoreItem xmlns:ds="http://schemas.openxmlformats.org/officeDocument/2006/customXml" ds:itemID="{C82A0DCA-80B1-4C03-A57D-4FF57BB2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5824</Words>
  <Characters>34365</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Kontrolní závěr z kontrolní akce NKÚ č. 23/23 - Peněžní prostředky státu z daně z příjmů právnických osob a správa této daně</vt:lpstr>
    </vt:vector>
  </TitlesOfParts>
  <Company>NKU</Company>
  <LinksUpToDate>false</LinksUpToDate>
  <CharactersWithSpaces>40109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23/23 - Peněžní prostředky státu z daně z příjmů právnických osob a správa této daně</dc:title>
  <dc:subject>Kontrolní závěr z kontrolní akce NKÚ č. 23/23 - Peněžní prostředky státu z daně z příjmů právnických osob a správa této daně</dc:subject>
  <dc:creator>nku@NKU.cz</dc:creator>
  <cp:keywords>kontrolní závěr; daň z příjmů právnických osob; daně; právnické osoby; správa daní</cp:keywords>
  <cp:lastModifiedBy>KOKRDA Daniel</cp:lastModifiedBy>
  <cp:revision>3</cp:revision>
  <cp:lastPrinted>2024-09-10T07:25:00Z</cp:lastPrinted>
  <dcterms:created xsi:type="dcterms:W3CDTF">2024-10-08T07:13:00Z</dcterms:created>
  <dcterms:modified xsi:type="dcterms:W3CDTF">2024-10-08T07:14:00Z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179/22-NKU200/525/22</vt:lpwstr>
  </property>
  <property fmtid="{D5CDD505-2E9C-101B-9397-08002B2CF9AE}" pid="5" name="CJ_PostaDoruc_PisemnostOdpovedNa_Pisemnost">
    <vt:lpwstr>XXX-XXX-XXX</vt:lpwstr>
  </property>
  <property fmtid="{D5CDD505-2E9C-101B-9397-08002B2CF9AE}" pid="6" name="CJ_Spis_Pisemnost">
    <vt:lpwstr>200/3/22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6.10.2022</vt:lpwstr>
  </property>
  <property fmtid="{D5CDD505-2E9C-101B-9397-08002B2CF9AE}" pid="12" name="DisplayName_CisloObalky_PostaOdes">
    <vt:lpwstr>ČÍSLO OBÁLKY</vt:lpwstr>
  </property>
  <property fmtid="{D5CDD505-2E9C-101B-9397-08002B2CF9AE}" pid="13" name="DisplayName_CJCol">
    <vt:lpwstr>&lt;TABLE&gt;&lt;TR&gt;&lt;TD&gt;Č.j.:&lt;/TD&gt;&lt;TD&gt;179/22-NKU200/525/22&lt;/TD&gt;&lt;/TR&gt;&lt;TR&gt;&lt;TD&gt;&lt;/TD&gt;&lt;TD&gt;&lt;/TD&gt;&lt;/TR&gt;&lt;/TABLE&gt;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kontrolní</vt:lpwstr>
  </property>
  <property fmtid="{D5CDD505-2E9C-101B-9397-08002B2CF9AE}" pid="16" name="DisplayName_UserPoriz_Pisemnost">
    <vt:lpwstr>Ivana Růžičková</vt:lpwstr>
  </property>
  <property fmtid="{D5CDD505-2E9C-101B-9397-08002B2CF9AE}" pid="17" name="DuvodZmeny_SlozkaStupenUtajeniCollection_Slozka_Pisemnost">
    <vt:lpwstr/>
  </property>
  <property fmtid="{D5CDD505-2E9C-101B-9397-08002B2CF9AE}" pid="18" name="EC_Pisemnost">
    <vt:lpwstr>22-13415/NKU</vt:lpwstr>
  </property>
  <property fmtid="{D5CDD505-2E9C-101B-9397-08002B2CF9AE}" pid="19" name="Key_BarCode_Pisemnost">
    <vt:lpwstr>*B000419890*</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22-13415/NKU</vt:lpwstr>
  </property>
  <property fmtid="{D5CDD505-2E9C-101B-9397-08002B2CF9AE}" pid="33" name="RC">
    <vt:lpwstr/>
  </property>
  <property fmtid="{D5CDD505-2E9C-101B-9397-08002B2CF9AE}" pid="34" name="SkartacniZnakLhuta_PisemnostZnak">
    <vt:lpwstr>?/?</vt:lpwstr>
  </property>
  <property fmtid="{D5CDD505-2E9C-101B-9397-08002B2CF9AE}" pid="35" name="SmlouvaCislo">
    <vt:lpwstr>ČÍSLO SMLOUVY</vt:lpwstr>
  </property>
  <property fmtid="{D5CDD505-2E9C-101B-9397-08002B2CF9AE}" pid="36" name="SZ_Spis_Pisemnost">
    <vt:lpwstr>179/22</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KZ 21/23 - připomínkové řízení</vt:lpwstr>
  </property>
  <property fmtid="{D5CDD505-2E9C-101B-9397-08002B2CF9AE}" pid="41" name="Zkratka_SpisovyUzel_PoziceZodpo_Pisemnost">
    <vt:lpwstr>200</vt:lpwstr>
  </property>
  <property fmtid="{D5CDD505-2E9C-101B-9397-08002B2CF9AE}" pid="42" name="ContentTypeId">
    <vt:lpwstr>0x010100B0A5E8D0B058C94FB642EE273459E334</vt:lpwstr>
  </property>
  <property fmtid="{D5CDD505-2E9C-101B-9397-08002B2CF9AE}" pid="43" name="MSIP_Label_577fbee6-ebd8-4412-8950-2ac0a4298383_Enabled">
    <vt:lpwstr>true</vt:lpwstr>
  </property>
  <property fmtid="{D5CDD505-2E9C-101B-9397-08002B2CF9AE}" pid="44" name="MSIP_Label_577fbee6-ebd8-4412-8950-2ac0a4298383_SetDate">
    <vt:lpwstr>2024-07-29T13:05:42Z</vt:lpwstr>
  </property>
  <property fmtid="{D5CDD505-2E9C-101B-9397-08002B2CF9AE}" pid="45" name="MSIP_Label_577fbee6-ebd8-4412-8950-2ac0a4298383_Method">
    <vt:lpwstr>Standard</vt:lpwstr>
  </property>
  <property fmtid="{D5CDD505-2E9C-101B-9397-08002B2CF9AE}" pid="46" name="MSIP_Label_577fbee6-ebd8-4412-8950-2ac0a4298383_Name">
    <vt:lpwstr>Střední</vt:lpwstr>
  </property>
  <property fmtid="{D5CDD505-2E9C-101B-9397-08002B2CF9AE}" pid="47" name="MSIP_Label_577fbee6-ebd8-4412-8950-2ac0a4298383_SiteId">
    <vt:lpwstr>e6d36204-fa0a-4bdb-9b60-80f84bb090cf</vt:lpwstr>
  </property>
  <property fmtid="{D5CDD505-2E9C-101B-9397-08002B2CF9AE}" pid="48" name="MSIP_Label_577fbee6-ebd8-4412-8950-2ac0a4298383_ActionId">
    <vt:lpwstr>414a5b2a-79af-4cb1-a0d2-f8f542902f5b</vt:lpwstr>
  </property>
  <property fmtid="{D5CDD505-2E9C-101B-9397-08002B2CF9AE}" pid="49" name="MSIP_Label_577fbee6-ebd8-4412-8950-2ac0a4298383_ContentBits">
    <vt:lpwstr>0</vt:lpwstr>
  </property>
</Properties>
</file>